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Arial" w:hAnsi="Arial" w:cs="Arial"/>
          <w:sz w:val="21"/>
          <w:szCs w:val="21"/>
        </w:rPr>
      </w:pPr>
    </w:p>
    <w:p>
      <w:pPr>
        <w:pStyle w:val="80"/>
        <w:shd w:val="clear" w:color="auto" w:fill="E6E6E6"/>
        <w:spacing w:after="120" w:line="276" w:lineRule="auto"/>
        <w:ind w:right="-17"/>
        <w:jc w:val="center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b/>
          <w:bCs/>
          <w:color w:val="000000" w:themeColor="text1"/>
          <w:sz w:val="21"/>
          <w:szCs w:val="21"/>
        </w:rPr>
        <w:t xml:space="preserve">ANEXO 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:lang w:val="pt-BR"/>
        </w:rPr>
        <w:t>V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</w:rPr>
        <w:t>I – INSTRUMENTO DE MEDIÇÃO DE RESULTADOS</w:t>
      </w:r>
    </w:p>
    <w:p>
      <w:pPr>
        <w:jc w:val="both"/>
        <w:rPr>
          <w:rFonts w:hint="default" w:ascii="Arial" w:hAnsi="Arial" w:cs="Arial"/>
          <w:sz w:val="21"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960"/>
          <w:tab w:val="clear" w:pos="1701"/>
        </w:tabs>
        <w:ind w:left="502" w:leftChars="0" w:right="0" w:hanging="360" w:firstLineChars="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  <w:lang w:val="pt-BR"/>
        </w:rPr>
        <w:t>DA DEFINIÇÃO</w:t>
      </w:r>
    </w:p>
    <w:p>
      <w:pPr>
        <w:pStyle w:val="17"/>
        <w:numPr>
          <w:ilvl w:val="1"/>
          <w:numId w:val="1"/>
        </w:numPr>
        <w:tabs>
          <w:tab w:val="left" w:pos="960"/>
          <w:tab w:val="clear" w:pos="1701"/>
        </w:tabs>
        <w:ind w:left="426" w:leftChars="213" w:right="0" w:firstLine="0" w:firstLineChars="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b w:val="0"/>
          <w:bCs/>
          <w:sz w:val="21"/>
          <w:szCs w:val="21"/>
        </w:rPr>
        <w:t>Este documento apresenta os critérios de medição de resultado, identificando indicadores, metas, mecanismos de cálculo, forma de acompanhamento e adequações de pagamento por eventual não atendimento das metas</w:t>
      </w:r>
      <w:r>
        <w:rPr>
          <w:rFonts w:hint="default" w:ascii="Arial" w:hAnsi="Arial" w:cs="Arial"/>
          <w:b w:val="0"/>
          <w:bCs/>
          <w:spacing w:val="5"/>
          <w:sz w:val="21"/>
          <w:szCs w:val="21"/>
        </w:rPr>
        <w:t xml:space="preserve"> </w:t>
      </w:r>
      <w:r>
        <w:rPr>
          <w:rFonts w:hint="default" w:ascii="Arial" w:hAnsi="Arial" w:cs="Arial"/>
          <w:b w:val="0"/>
          <w:bCs/>
          <w:sz w:val="21"/>
          <w:szCs w:val="21"/>
        </w:rPr>
        <w:t>estabelecidas.</w:t>
      </w:r>
    </w:p>
    <w:p>
      <w:pPr>
        <w:pStyle w:val="17"/>
        <w:numPr>
          <w:ilvl w:val="1"/>
          <w:numId w:val="1"/>
        </w:numPr>
        <w:tabs>
          <w:tab w:val="left" w:pos="960"/>
          <w:tab w:val="clear" w:pos="1701"/>
        </w:tabs>
        <w:ind w:left="426" w:leftChars="213" w:right="0" w:firstLine="0" w:firstLineChars="0"/>
        <w:jc w:val="both"/>
        <w:rPr>
          <w:rFonts w:hint="default" w:ascii="Arial" w:hAnsi="Arial" w:cs="Arial"/>
          <w:b w:val="0"/>
          <w:bCs/>
          <w:sz w:val="21"/>
          <w:szCs w:val="21"/>
        </w:rPr>
      </w:pPr>
      <w:r>
        <w:rPr>
          <w:rFonts w:hint="default" w:ascii="Arial" w:hAnsi="Arial" w:cs="Arial"/>
          <w:b w:val="0"/>
          <w:bCs/>
          <w:sz w:val="21"/>
          <w:szCs w:val="21"/>
        </w:rPr>
        <w:t>A fiscalização técnica dos contratos deve avaliar constantemente a execução do objeto por meio do Instrumento de Medição de Resultado - IMR, conforme modelo previsto no Edital, para aferição da qualidade da prestação dos serviços, devendo haver o redimensionamento no pagamento com base nos indicadores estabelecidos, sempre que a contratada:</w:t>
      </w:r>
    </w:p>
    <w:p>
      <w:pPr>
        <w:pStyle w:val="17"/>
        <w:numPr>
          <w:ilvl w:val="2"/>
          <w:numId w:val="1"/>
        </w:numPr>
        <w:tabs>
          <w:tab w:val="left" w:pos="960"/>
          <w:tab w:val="clear" w:pos="1701"/>
        </w:tabs>
        <w:ind w:left="720" w:leftChars="360" w:right="0" w:firstLine="0" w:firstLineChars="0"/>
        <w:jc w:val="both"/>
        <w:rPr>
          <w:rFonts w:hint="default" w:ascii="Arial" w:hAnsi="Arial" w:cs="Arial"/>
          <w:b w:val="0"/>
          <w:bCs/>
          <w:sz w:val="21"/>
          <w:szCs w:val="21"/>
        </w:rPr>
      </w:pPr>
      <w:r>
        <w:rPr>
          <w:rFonts w:hint="default" w:ascii="Arial" w:hAnsi="Arial" w:cs="Arial"/>
          <w:b w:val="0"/>
          <w:bCs/>
          <w:sz w:val="21"/>
          <w:szCs w:val="21"/>
        </w:rPr>
        <w:t>Não produzir os resultados, deixar de executar, ou não executar com a qualidade mínima exigida as atividades contratadas; ou</w:t>
      </w:r>
    </w:p>
    <w:p>
      <w:pPr>
        <w:pStyle w:val="17"/>
        <w:numPr>
          <w:ilvl w:val="2"/>
          <w:numId w:val="1"/>
        </w:numPr>
        <w:tabs>
          <w:tab w:val="left" w:pos="960"/>
          <w:tab w:val="clear" w:pos="1701"/>
        </w:tabs>
        <w:ind w:left="720" w:leftChars="360" w:right="0" w:firstLine="0" w:firstLineChars="0"/>
        <w:jc w:val="both"/>
        <w:rPr>
          <w:rFonts w:hint="default" w:ascii="Arial" w:hAnsi="Arial" w:cs="Arial"/>
          <w:b w:val="0"/>
          <w:bCs/>
          <w:sz w:val="21"/>
          <w:szCs w:val="21"/>
        </w:rPr>
      </w:pPr>
      <w:r>
        <w:rPr>
          <w:rFonts w:hint="default" w:ascii="Arial" w:hAnsi="Arial" w:cs="Arial"/>
          <w:b w:val="0"/>
          <w:bCs/>
          <w:sz w:val="21"/>
          <w:szCs w:val="21"/>
        </w:rPr>
        <w:t>Deixar de utilizar materiais, equipamentos e recursos humanos exigidos para a execução do serviço, ou utilizá-los com qualidade ou quantidade inferior à demandada.</w:t>
      </w:r>
    </w:p>
    <w:p>
      <w:pPr>
        <w:pStyle w:val="17"/>
        <w:numPr>
          <w:ilvl w:val="2"/>
          <w:numId w:val="1"/>
        </w:numPr>
        <w:tabs>
          <w:tab w:val="left" w:pos="960"/>
          <w:tab w:val="clear" w:pos="1701"/>
        </w:tabs>
        <w:ind w:left="720" w:leftChars="360" w:right="0" w:firstLine="0" w:firstLineChars="0"/>
        <w:jc w:val="both"/>
        <w:rPr>
          <w:rFonts w:hint="default" w:ascii="Arial" w:hAnsi="Arial" w:cs="Arial"/>
          <w:b w:val="0"/>
          <w:bCs/>
          <w:sz w:val="21"/>
          <w:szCs w:val="21"/>
        </w:rPr>
      </w:pPr>
      <w:r>
        <w:rPr>
          <w:rFonts w:hint="default" w:ascii="Arial" w:hAnsi="Arial" w:cs="Arial"/>
          <w:b w:val="0"/>
          <w:bCs/>
          <w:sz w:val="21"/>
          <w:szCs w:val="21"/>
        </w:rPr>
        <w:t>A utilização do IMR não impede a aplicação concomitante de outros mecanismos para a avaliação da prestação dos serviços.</w:t>
      </w:r>
    </w:p>
    <w:p>
      <w:pPr>
        <w:pStyle w:val="17"/>
        <w:numPr>
          <w:ilvl w:val="1"/>
          <w:numId w:val="1"/>
        </w:numPr>
        <w:tabs>
          <w:tab w:val="left" w:pos="960"/>
          <w:tab w:val="clear" w:pos="1701"/>
        </w:tabs>
        <w:ind w:left="426" w:leftChars="213" w:right="0" w:firstLine="0" w:firstLineChars="0"/>
        <w:jc w:val="both"/>
        <w:rPr>
          <w:rFonts w:hint="default" w:ascii="Arial" w:hAnsi="Arial" w:cs="Arial"/>
          <w:b w:val="0"/>
          <w:bCs/>
          <w:sz w:val="21"/>
          <w:szCs w:val="21"/>
        </w:rPr>
      </w:pPr>
      <w:r>
        <w:rPr>
          <w:rFonts w:hint="default" w:ascii="Arial" w:hAnsi="Arial" w:cs="Arial"/>
          <w:b w:val="0"/>
          <w:bCs/>
          <w:sz w:val="21"/>
          <w:szCs w:val="21"/>
        </w:rPr>
        <w:t>Durante a execução do objeto, fase do recebimento provisório, o fiscal técnico designado deverá monitorar constantemente o nível de qualidade dos serviços para evitar a sua degeneração, devendo intervir para requerer à contratada a correção das faltas, falhas e irregularidades constatadas;</w:t>
      </w:r>
    </w:p>
    <w:p>
      <w:pPr>
        <w:pStyle w:val="17"/>
        <w:numPr>
          <w:ilvl w:val="1"/>
          <w:numId w:val="1"/>
        </w:numPr>
        <w:tabs>
          <w:tab w:val="left" w:pos="960"/>
          <w:tab w:val="clear" w:pos="1701"/>
        </w:tabs>
        <w:ind w:left="426" w:leftChars="213" w:right="0" w:firstLine="0" w:firstLineChars="0"/>
        <w:jc w:val="both"/>
        <w:rPr>
          <w:rFonts w:hint="default" w:ascii="Arial" w:hAnsi="Arial" w:cs="Arial"/>
          <w:b w:val="0"/>
          <w:bCs/>
          <w:sz w:val="21"/>
          <w:szCs w:val="21"/>
        </w:rPr>
      </w:pPr>
      <w:r>
        <w:rPr>
          <w:rFonts w:hint="default" w:ascii="Arial" w:hAnsi="Arial" w:cs="Arial"/>
          <w:b w:val="0"/>
          <w:bCs/>
          <w:sz w:val="21"/>
          <w:szCs w:val="21"/>
        </w:rPr>
        <w:t>O fiscal técnico do contrato deverá apresentar ao preposto da contratada a avaliação da execução do objeto ou,</w:t>
      </w:r>
      <w:r>
        <w:rPr>
          <w:rFonts w:hint="default" w:ascii="Arial" w:hAnsi="Arial" w:cs="Arial"/>
          <w:b w:val="0"/>
          <w:bCs/>
          <w:sz w:val="21"/>
          <w:szCs w:val="21"/>
          <w:lang w:val="pt-BR"/>
        </w:rPr>
        <w:t xml:space="preserve"> </w:t>
      </w:r>
      <w:r>
        <w:rPr>
          <w:rFonts w:hint="default" w:ascii="Arial" w:hAnsi="Arial" w:cs="Arial"/>
          <w:b w:val="0"/>
          <w:bCs/>
          <w:sz w:val="21"/>
          <w:szCs w:val="21"/>
        </w:rPr>
        <w:t>se for o caso, a avaliação de desempenho e qualidade da prestação dos serviços realizada;</w:t>
      </w:r>
    </w:p>
    <w:p>
      <w:pPr>
        <w:pStyle w:val="17"/>
        <w:numPr>
          <w:ilvl w:val="2"/>
          <w:numId w:val="1"/>
        </w:numPr>
        <w:tabs>
          <w:tab w:val="left" w:pos="960"/>
          <w:tab w:val="clear" w:pos="1701"/>
        </w:tabs>
        <w:ind w:left="720" w:leftChars="360" w:right="0" w:firstLine="0" w:firstLineChars="0"/>
        <w:jc w:val="both"/>
        <w:rPr>
          <w:rFonts w:hint="default" w:ascii="Arial" w:hAnsi="Arial" w:cs="Arial"/>
          <w:b w:val="0"/>
          <w:bCs/>
          <w:sz w:val="21"/>
          <w:szCs w:val="21"/>
        </w:rPr>
      </w:pPr>
      <w:r>
        <w:rPr>
          <w:rFonts w:hint="default" w:ascii="Arial" w:hAnsi="Arial" w:cs="Arial"/>
          <w:b w:val="0"/>
          <w:bCs/>
          <w:sz w:val="21"/>
          <w:szCs w:val="21"/>
        </w:rPr>
        <w:t>O preposto deverá apor assinatura no documento, tomando ciência da avaliação realizada;</w:t>
      </w:r>
    </w:p>
    <w:p>
      <w:pPr>
        <w:pStyle w:val="17"/>
        <w:numPr>
          <w:ilvl w:val="1"/>
          <w:numId w:val="1"/>
        </w:numPr>
        <w:tabs>
          <w:tab w:val="left" w:pos="960"/>
          <w:tab w:val="clear" w:pos="1701"/>
        </w:tabs>
        <w:ind w:left="426" w:leftChars="213" w:right="0" w:firstLine="0" w:firstLineChars="0"/>
        <w:jc w:val="both"/>
        <w:rPr>
          <w:rFonts w:hint="default" w:ascii="Arial" w:hAnsi="Arial" w:cs="Arial"/>
          <w:b w:val="0"/>
          <w:bCs/>
          <w:sz w:val="21"/>
          <w:szCs w:val="21"/>
        </w:rPr>
      </w:pPr>
      <w:r>
        <w:rPr>
          <w:rFonts w:hint="default" w:ascii="Arial" w:hAnsi="Arial" w:cs="Arial"/>
          <w:b w:val="0"/>
          <w:bCs/>
          <w:sz w:val="21"/>
          <w:szCs w:val="21"/>
        </w:rPr>
        <w:t>A contratada poderá apresentar justificativa para a prestação do serviço com menor nível de conformidade, que poderá ser aceita pelo fiscal técnico, desde que comprovada a excepcionalidade da ocorrência, resultante exclusivamente de fatores imprevisíveis e alheios ao controle do prestador;</w:t>
      </w:r>
    </w:p>
    <w:p>
      <w:pPr>
        <w:pStyle w:val="17"/>
        <w:numPr>
          <w:ilvl w:val="1"/>
          <w:numId w:val="1"/>
        </w:numPr>
        <w:tabs>
          <w:tab w:val="left" w:pos="960"/>
          <w:tab w:val="clear" w:pos="1701"/>
        </w:tabs>
        <w:ind w:left="426" w:leftChars="213" w:right="0" w:firstLine="0" w:firstLineChars="0"/>
        <w:jc w:val="both"/>
        <w:rPr>
          <w:rFonts w:hint="default" w:ascii="Arial" w:hAnsi="Arial" w:cs="Arial"/>
          <w:b w:val="0"/>
          <w:bCs/>
          <w:sz w:val="21"/>
          <w:szCs w:val="21"/>
        </w:rPr>
      </w:pPr>
      <w:r>
        <w:rPr>
          <w:rFonts w:hint="default" w:ascii="Arial" w:hAnsi="Arial" w:cs="Arial"/>
          <w:b w:val="0"/>
          <w:bCs/>
          <w:sz w:val="21"/>
          <w:szCs w:val="21"/>
        </w:rPr>
        <w:t>Na hipótese de comportamento contínuo de desconformidade da prestação do serviço em relação à qualidade exigida, bem como quando esta ultrapassar os níveis mínimos toleráveis previstos nos indicadores, além dos fatores redutores, devem ser aplicadas as sanções à contratada de acordo com as regras previstas no ato convocatório.</w:t>
      </w:r>
    </w:p>
    <w:p>
      <w:pPr>
        <w:pStyle w:val="17"/>
        <w:numPr>
          <w:ilvl w:val="1"/>
          <w:numId w:val="1"/>
        </w:numPr>
        <w:tabs>
          <w:tab w:val="left" w:pos="960"/>
          <w:tab w:val="clear" w:pos="1701"/>
        </w:tabs>
        <w:ind w:left="426" w:leftChars="213" w:right="0" w:firstLine="0" w:firstLineChars="0"/>
        <w:jc w:val="both"/>
        <w:rPr>
          <w:rFonts w:hint="default" w:ascii="Arial" w:hAnsi="Arial" w:cs="Arial"/>
          <w:b w:val="0"/>
          <w:bCs/>
          <w:sz w:val="21"/>
          <w:szCs w:val="21"/>
        </w:rPr>
      </w:pPr>
      <w:r>
        <w:rPr>
          <w:rFonts w:hint="default" w:ascii="Arial" w:hAnsi="Arial" w:cs="Arial"/>
          <w:b w:val="0"/>
          <w:bCs/>
          <w:sz w:val="21"/>
          <w:szCs w:val="21"/>
        </w:rPr>
        <w:t>É vedada a atribuição à contratada avaliação de desempenho e qualidade da prestação dos serviços realizada de que trata o item 1.4;</w:t>
      </w:r>
    </w:p>
    <w:p>
      <w:pPr>
        <w:pStyle w:val="17"/>
        <w:numPr>
          <w:ilvl w:val="1"/>
          <w:numId w:val="1"/>
        </w:numPr>
        <w:tabs>
          <w:tab w:val="left" w:pos="960"/>
          <w:tab w:val="clear" w:pos="1701"/>
        </w:tabs>
        <w:ind w:left="426" w:leftChars="213" w:right="0" w:firstLine="0" w:firstLineChars="0"/>
        <w:jc w:val="both"/>
        <w:rPr>
          <w:rFonts w:hint="default" w:ascii="Arial" w:hAnsi="Arial" w:cs="Arial"/>
          <w:b w:val="0"/>
          <w:bCs/>
          <w:sz w:val="21"/>
          <w:szCs w:val="21"/>
        </w:rPr>
      </w:pPr>
      <w:r>
        <w:rPr>
          <w:rFonts w:hint="default" w:ascii="Arial" w:hAnsi="Arial" w:cs="Arial"/>
          <w:b w:val="0"/>
          <w:bCs/>
          <w:sz w:val="21"/>
          <w:szCs w:val="21"/>
        </w:rPr>
        <w:t>O fiscal técnico poderá realizar a avaliação diária, semanal ou mensal, desde que o período escolhido seja suficiente para avaliar ou, se for o caso, aferir o desempenho e qualidade da prestação dos serviços;</w:t>
      </w:r>
    </w:p>
    <w:p>
      <w:pPr>
        <w:pStyle w:val="17"/>
        <w:numPr>
          <w:ilvl w:val="1"/>
          <w:numId w:val="1"/>
        </w:numPr>
        <w:tabs>
          <w:tab w:val="left" w:pos="960"/>
          <w:tab w:val="clear" w:pos="1701"/>
        </w:tabs>
        <w:ind w:left="426" w:leftChars="213" w:right="0" w:firstLine="0" w:firstLineChars="0"/>
        <w:jc w:val="both"/>
        <w:rPr>
          <w:rFonts w:hint="default" w:ascii="Arial" w:hAnsi="Arial" w:cs="Arial"/>
          <w:b w:val="0"/>
          <w:bCs/>
          <w:sz w:val="21"/>
          <w:szCs w:val="21"/>
        </w:rPr>
      </w:pPr>
      <w:r>
        <w:rPr>
          <w:rFonts w:hint="default" w:ascii="Arial" w:hAnsi="Arial" w:cs="Arial"/>
          <w:b w:val="0"/>
          <w:bCs/>
          <w:sz w:val="21"/>
          <w:szCs w:val="21"/>
        </w:rPr>
        <w:t>Para efeito de recebimento provisório, ao final de cada período mensal, o fiscal técnico do contrato deverá</w:t>
      </w:r>
      <w:r>
        <w:rPr>
          <w:rFonts w:hint="default" w:ascii="Arial" w:hAnsi="Arial" w:cs="Arial"/>
          <w:b w:val="0"/>
          <w:bCs/>
          <w:sz w:val="21"/>
          <w:szCs w:val="21"/>
          <w:lang w:val="pt-BR"/>
        </w:rPr>
        <w:t xml:space="preserve"> </w:t>
      </w:r>
      <w:r>
        <w:rPr>
          <w:rFonts w:hint="default" w:ascii="Arial" w:hAnsi="Arial" w:cs="Arial"/>
          <w:b w:val="0"/>
          <w:bCs/>
          <w:sz w:val="21"/>
          <w:szCs w:val="21"/>
        </w:rPr>
        <w:t>apurar o resultado das avaliações da execução do objeto e, se for o caso, a análise do desempenho e qualidade da prestação dos serviços realizados em consonância com os indicadores previstos no ato convocatório, que poderá resultar no redimensionamento de valores a serem pagos à contratada, registrando em relatório a ser encaminhado ao gestor do contrato;</w:t>
      </w:r>
    </w:p>
    <w:p>
      <w:pPr>
        <w:pStyle w:val="17"/>
        <w:numPr>
          <w:numId w:val="0"/>
        </w:numPr>
        <w:tabs>
          <w:tab w:val="left" w:pos="960"/>
          <w:tab w:val="clear" w:pos="1701"/>
        </w:tabs>
        <w:ind w:left="426" w:leftChars="0" w:right="0" w:rightChars="0"/>
        <w:jc w:val="both"/>
        <w:rPr>
          <w:rFonts w:hint="default" w:ascii="Arial" w:hAnsi="Arial" w:cs="Arial"/>
          <w:b w:val="0"/>
          <w:bCs/>
          <w:sz w:val="21"/>
          <w:szCs w:val="21"/>
        </w:rPr>
      </w:pPr>
    </w:p>
    <w:p>
      <w:pPr>
        <w:rPr>
          <w:rFonts w:hint="default" w:ascii="Arial" w:hAnsi="Arial" w:cs="Arial"/>
          <w:b w:val="0"/>
          <w:bCs/>
          <w:sz w:val="21"/>
          <w:szCs w:val="21"/>
        </w:rPr>
      </w:pPr>
    </w:p>
    <w:p>
      <w:pPr>
        <w:rPr>
          <w:rFonts w:hint="default" w:ascii="Arial" w:hAnsi="Arial" w:cs="Arial"/>
          <w:b w:val="0"/>
          <w:bCs/>
          <w:sz w:val="21"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960"/>
          <w:tab w:val="clear" w:pos="1701"/>
        </w:tabs>
        <w:ind w:left="502" w:leftChars="0" w:right="0" w:hanging="360" w:firstLineChars="0"/>
        <w:jc w:val="both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  <w:lang w:val="pt-BR"/>
        </w:rPr>
        <w:t>DOS INDICADORES, DAS METAS E DOS MECANISMOS DE CÁLCULO</w:t>
      </w:r>
    </w:p>
    <w:p>
      <w:pPr>
        <w:pStyle w:val="17"/>
        <w:numPr>
          <w:ilvl w:val="1"/>
          <w:numId w:val="1"/>
        </w:numPr>
        <w:tabs>
          <w:tab w:val="left" w:pos="960"/>
          <w:tab w:val="clear" w:pos="1701"/>
        </w:tabs>
        <w:ind w:left="426" w:leftChars="213" w:right="0" w:firstLine="0" w:firstLineChars="0"/>
        <w:jc w:val="both"/>
        <w:rPr>
          <w:rFonts w:hint="default" w:ascii="Arial" w:hAnsi="Arial" w:cs="Arial"/>
          <w:b w:val="0"/>
          <w:bCs/>
          <w:sz w:val="21"/>
          <w:szCs w:val="21"/>
          <w:lang w:val="pt-BR"/>
        </w:rPr>
      </w:pPr>
      <w:r>
        <w:rPr>
          <w:rFonts w:hint="default" w:ascii="Arial" w:hAnsi="Arial" w:cs="Arial"/>
          <w:b w:val="0"/>
          <w:bCs/>
          <w:sz w:val="21"/>
          <w:szCs w:val="21"/>
          <w:lang w:val="pt-BR"/>
        </w:rPr>
        <w:t>A execução dos serviços pela contratada serão avaliados por meio de cinco indicadores de qualidade:</w:t>
      </w:r>
    </w:p>
    <w:p>
      <w:pPr>
        <w:pStyle w:val="17"/>
        <w:numPr>
          <w:ilvl w:val="2"/>
          <w:numId w:val="1"/>
        </w:numPr>
        <w:tabs>
          <w:tab w:val="left" w:pos="960"/>
          <w:tab w:val="clear" w:pos="1701"/>
        </w:tabs>
        <w:ind w:left="720" w:leftChars="360" w:right="0" w:firstLine="0" w:firstLineChars="0"/>
        <w:jc w:val="both"/>
        <w:rPr>
          <w:rFonts w:hint="default" w:ascii="Arial" w:hAnsi="Arial" w:cs="Arial"/>
          <w:b w:val="0"/>
          <w:bCs/>
          <w:sz w:val="21"/>
          <w:szCs w:val="21"/>
          <w:lang w:val="pt-BR"/>
        </w:rPr>
      </w:pPr>
      <w:r>
        <w:rPr>
          <w:rFonts w:hint="default" w:ascii="Arial" w:hAnsi="Arial" w:cs="Arial"/>
          <w:b w:val="0"/>
          <w:bCs/>
          <w:sz w:val="21"/>
          <w:szCs w:val="21"/>
          <w:lang w:val="pt-BR"/>
        </w:rPr>
        <w:t>atraso no pagamento de salários e outros benefícios;</w:t>
      </w:r>
    </w:p>
    <w:p>
      <w:pPr>
        <w:pStyle w:val="17"/>
        <w:numPr>
          <w:ilvl w:val="2"/>
          <w:numId w:val="1"/>
        </w:numPr>
        <w:tabs>
          <w:tab w:val="left" w:pos="960"/>
          <w:tab w:val="clear" w:pos="1701"/>
        </w:tabs>
        <w:ind w:left="720" w:leftChars="360" w:right="0" w:firstLine="0" w:firstLineChars="0"/>
        <w:jc w:val="both"/>
        <w:rPr>
          <w:rFonts w:hint="default" w:ascii="Arial" w:hAnsi="Arial" w:cs="Arial"/>
          <w:b w:val="0"/>
          <w:bCs/>
          <w:sz w:val="21"/>
          <w:szCs w:val="21"/>
          <w:lang w:val="pt-BR"/>
        </w:rPr>
      </w:pPr>
      <w:r>
        <w:rPr>
          <w:rFonts w:hint="default" w:ascii="Arial" w:hAnsi="Arial" w:cs="Arial"/>
          <w:b w:val="0"/>
          <w:bCs/>
          <w:sz w:val="21"/>
          <w:szCs w:val="21"/>
          <w:lang w:val="pt-BR"/>
        </w:rPr>
        <w:t>o uso de EPI's e uniformes;</w:t>
      </w:r>
    </w:p>
    <w:p>
      <w:pPr>
        <w:pStyle w:val="17"/>
        <w:numPr>
          <w:ilvl w:val="2"/>
          <w:numId w:val="1"/>
        </w:numPr>
        <w:tabs>
          <w:tab w:val="left" w:pos="960"/>
          <w:tab w:val="clear" w:pos="1701"/>
        </w:tabs>
        <w:ind w:left="720" w:leftChars="360" w:right="0" w:firstLine="0" w:firstLineChars="0"/>
        <w:jc w:val="both"/>
        <w:rPr>
          <w:rFonts w:hint="default" w:ascii="Arial" w:hAnsi="Arial" w:cs="Arial"/>
          <w:b w:val="0"/>
          <w:bCs/>
          <w:sz w:val="21"/>
          <w:szCs w:val="21"/>
          <w:lang w:val="pt-BR"/>
        </w:rPr>
      </w:pPr>
      <w:r>
        <w:rPr>
          <w:rFonts w:hint="default" w:ascii="Arial" w:hAnsi="Arial" w:cs="Arial"/>
          <w:b w:val="0"/>
          <w:bCs/>
          <w:sz w:val="21"/>
          <w:szCs w:val="21"/>
          <w:lang w:val="pt-BR"/>
        </w:rPr>
        <w:t>tempo de resposta às solicitações da Contratante;</w:t>
      </w:r>
    </w:p>
    <w:p>
      <w:pPr>
        <w:pStyle w:val="17"/>
        <w:numPr>
          <w:ilvl w:val="2"/>
          <w:numId w:val="1"/>
        </w:numPr>
        <w:tabs>
          <w:tab w:val="left" w:pos="960"/>
          <w:tab w:val="clear" w:pos="1701"/>
        </w:tabs>
        <w:ind w:left="720" w:leftChars="360" w:right="0" w:firstLine="0" w:firstLineChars="0"/>
        <w:jc w:val="both"/>
        <w:rPr>
          <w:rFonts w:hint="default" w:ascii="Arial" w:hAnsi="Arial" w:cs="Arial"/>
          <w:b w:val="0"/>
          <w:bCs/>
          <w:sz w:val="21"/>
          <w:szCs w:val="21"/>
          <w:lang w:val="pt-BR"/>
        </w:rPr>
      </w:pPr>
      <w:r>
        <w:rPr>
          <w:rFonts w:hint="default" w:ascii="Arial" w:hAnsi="Arial" w:cs="Arial"/>
          <w:b w:val="0"/>
          <w:bCs/>
          <w:sz w:val="21"/>
          <w:szCs w:val="21"/>
          <w:lang w:val="pt-BR"/>
        </w:rPr>
        <w:t>qualidade dos serviços prestados; e</w:t>
      </w:r>
    </w:p>
    <w:p>
      <w:pPr>
        <w:pStyle w:val="17"/>
        <w:numPr>
          <w:ilvl w:val="2"/>
          <w:numId w:val="1"/>
        </w:numPr>
        <w:tabs>
          <w:tab w:val="left" w:pos="960"/>
          <w:tab w:val="clear" w:pos="1701"/>
        </w:tabs>
        <w:ind w:left="720" w:leftChars="360" w:right="0" w:firstLine="0" w:firstLineChars="0"/>
        <w:jc w:val="both"/>
        <w:rPr>
          <w:rFonts w:hint="default" w:ascii="Arial" w:hAnsi="Arial" w:cs="Arial"/>
          <w:b w:val="0"/>
          <w:bCs/>
          <w:sz w:val="21"/>
          <w:szCs w:val="21"/>
          <w:lang w:val="pt-BR"/>
        </w:rPr>
      </w:pPr>
      <w:r>
        <w:rPr>
          <w:rFonts w:hint="default" w:ascii="Arial" w:hAnsi="Arial" w:cs="Arial"/>
          <w:b w:val="0"/>
          <w:bCs/>
          <w:sz w:val="21"/>
          <w:szCs w:val="21"/>
          <w:lang w:val="pt-BR"/>
        </w:rPr>
        <w:t>falta de materiais e equipamentos previstos em contrato</w:t>
      </w:r>
    </w:p>
    <w:p>
      <w:pPr>
        <w:pStyle w:val="17"/>
        <w:numPr>
          <w:ilvl w:val="1"/>
          <w:numId w:val="1"/>
        </w:numPr>
        <w:tabs>
          <w:tab w:val="left" w:pos="960"/>
          <w:tab w:val="clear" w:pos="1701"/>
        </w:tabs>
        <w:ind w:left="426" w:leftChars="213" w:right="0" w:firstLine="0" w:firstLineChars="0"/>
        <w:jc w:val="both"/>
        <w:rPr>
          <w:rFonts w:hint="default" w:ascii="Arial" w:hAnsi="Arial" w:cs="Arial"/>
          <w:b w:val="0"/>
          <w:bCs/>
          <w:sz w:val="21"/>
          <w:szCs w:val="21"/>
          <w:lang w:val="pt-BR"/>
        </w:rPr>
      </w:pPr>
      <w:r>
        <w:rPr>
          <w:rFonts w:hint="default" w:ascii="Arial" w:hAnsi="Arial" w:cs="Arial"/>
          <w:b w:val="0"/>
          <w:bCs/>
          <w:sz w:val="21"/>
          <w:szCs w:val="21"/>
          <w:lang w:val="pt-BR"/>
        </w:rPr>
        <w:t xml:space="preserve">Aos indicadores serão atribuídos pontos de qualidade, conforme critérios apresentados. Cada indicador contribui com uma quantidade diferenciada de pontos de qualidade. Essa diferença está relacionada à essencialidade </w:t>
      </w:r>
      <w:bookmarkStart w:id="0" w:name="_GoBack"/>
      <w:bookmarkEnd w:id="0"/>
      <w:r>
        <w:rPr>
          <w:rFonts w:hint="default" w:ascii="Arial" w:hAnsi="Arial" w:cs="Arial"/>
          <w:b w:val="0"/>
          <w:bCs/>
          <w:sz w:val="21"/>
          <w:szCs w:val="21"/>
          <w:lang w:val="pt-BR"/>
        </w:rPr>
        <w:t>do indicador para a qualidade dos serviços.</w:t>
      </w:r>
    </w:p>
    <w:p>
      <w:pPr>
        <w:pStyle w:val="17"/>
        <w:numPr>
          <w:ilvl w:val="1"/>
          <w:numId w:val="1"/>
        </w:numPr>
        <w:tabs>
          <w:tab w:val="left" w:pos="960"/>
          <w:tab w:val="clear" w:pos="1701"/>
        </w:tabs>
        <w:ind w:left="426" w:leftChars="213" w:right="0" w:firstLine="0" w:firstLineChars="0"/>
        <w:jc w:val="both"/>
        <w:rPr>
          <w:rFonts w:hint="default" w:ascii="Arial" w:hAnsi="Arial" w:cs="Arial"/>
          <w:b w:val="0"/>
          <w:bCs/>
          <w:sz w:val="21"/>
          <w:szCs w:val="21"/>
          <w:lang w:val="pt-BR"/>
        </w:rPr>
      </w:pPr>
      <w:r>
        <w:rPr>
          <w:rFonts w:hint="default" w:ascii="Arial" w:hAnsi="Arial" w:cs="Arial"/>
          <w:b w:val="0"/>
          <w:bCs/>
          <w:sz w:val="21"/>
          <w:szCs w:val="21"/>
          <w:lang w:val="pt-BR"/>
        </w:rPr>
        <w:t xml:space="preserve">A pontuação final de qualidade dos serviços pode resultar em valores entre </w:t>
      </w:r>
      <w:r>
        <w:rPr>
          <w:rFonts w:hint="default" w:ascii="Arial" w:hAnsi="Arial" w:cs="Arial"/>
          <w:b/>
          <w:bCs w:val="0"/>
          <w:sz w:val="21"/>
          <w:szCs w:val="21"/>
          <w:lang w:val="pt-BR"/>
        </w:rPr>
        <w:t>0 (zero) e 100  (cem)</w:t>
      </w:r>
      <w:r>
        <w:rPr>
          <w:rFonts w:hint="default" w:ascii="Arial" w:hAnsi="Arial" w:cs="Arial"/>
          <w:b w:val="0"/>
          <w:bCs/>
          <w:sz w:val="21"/>
          <w:szCs w:val="21"/>
          <w:lang w:val="pt-BR"/>
        </w:rPr>
        <w:t>,  correspondentes respectivamente às situações de serviço desprovido de qualidade e serviço com qualidade elevada.</w:t>
      </w:r>
    </w:p>
    <w:p>
      <w:pPr>
        <w:rPr>
          <w:rFonts w:hint="default"/>
          <w:lang w:val="pt-BR"/>
        </w:rPr>
      </w:pPr>
    </w:p>
    <w:tbl>
      <w:tblPr>
        <w:tblStyle w:val="14"/>
        <w:tblW w:w="9989" w:type="dxa"/>
        <w:jc w:val="center"/>
        <w:tblBorders>
          <w:top w:val="double" w:color="2B2B2B" w:sz="2" w:space="0"/>
          <w:left w:val="double" w:color="2B2B2B" w:sz="2" w:space="0"/>
          <w:bottom w:val="double" w:color="2B2B2B" w:sz="2" w:space="0"/>
          <w:right w:val="double" w:color="2B2B2B" w:sz="2" w:space="0"/>
          <w:insideH w:val="double" w:color="2B2B2B" w:sz="2" w:space="0"/>
          <w:insideV w:val="double" w:color="2B2B2B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9"/>
        <w:gridCol w:w="7850"/>
      </w:tblGrid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  <w:jc w:val="center"/>
        </w:trPr>
        <w:tc>
          <w:tcPr>
            <w:tcW w:w="9989" w:type="dxa"/>
            <w:gridSpan w:val="2"/>
            <w:tcBorders>
              <w:right w:val="double" w:color="808080" w:sz="2" w:space="0"/>
            </w:tcBorders>
            <w:shd w:val="clear" w:color="auto" w:fill="7F7F7F" w:themeFill="text1" w:themeFillTint="7F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 w:themeColor="background1"/>
                <w:w w:val="105"/>
                <w:sz w:val="18"/>
                <w:szCs w:val="18"/>
              </w:rPr>
              <w:t>(I) IMR - INDICADORES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9989" w:type="dxa"/>
            <w:gridSpan w:val="2"/>
            <w:tcBorders>
              <w:right w:val="double" w:color="808080" w:sz="2" w:space="0"/>
            </w:tcBorders>
            <w:shd w:val="clear" w:color="auto" w:fill="D7D7D7" w:themeFill="background1" w:themeFillShade="D8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b/>
                <w:i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i/>
                <w:w w:val="105"/>
                <w:sz w:val="18"/>
                <w:szCs w:val="18"/>
              </w:rPr>
              <w:t xml:space="preserve">INDICADOR 1: </w:t>
            </w:r>
            <w:r>
              <w:rPr>
                <w:rFonts w:hint="default" w:ascii="Arial" w:hAnsi="Arial" w:cs="Arial"/>
                <w:b w:val="0"/>
                <w:bCs/>
                <w:i/>
                <w:w w:val="105"/>
                <w:sz w:val="18"/>
                <w:szCs w:val="18"/>
              </w:rPr>
              <w:t>ATRASO NO PAGAMENTO DE SALÁRIOS E OUTROS BENEFÍCIOS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center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w w:val="105"/>
                <w:sz w:val="18"/>
                <w:szCs w:val="18"/>
              </w:rPr>
              <w:t>ITEM</w:t>
            </w:r>
          </w:p>
        </w:tc>
        <w:tc>
          <w:tcPr>
            <w:tcW w:w="7850" w:type="dxa"/>
            <w:tcBorders>
              <w:right w:val="double" w:color="808080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center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w w:val="105"/>
                <w:sz w:val="18"/>
                <w:szCs w:val="18"/>
              </w:rPr>
              <w:t>DESCRIÇÃO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Finalidade</w:t>
            </w:r>
          </w:p>
        </w:tc>
        <w:tc>
          <w:tcPr>
            <w:tcW w:w="7850" w:type="dxa"/>
            <w:tcBorders>
              <w:right w:val="double" w:color="808080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Mitigar ocorrências de atrasos de pagamentos de Salários e outros Benefícios.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Meta a cumprir</w:t>
            </w:r>
          </w:p>
        </w:tc>
        <w:tc>
          <w:tcPr>
            <w:tcW w:w="7850" w:type="dxa"/>
            <w:tcBorders>
              <w:right w:val="double" w:color="808080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Nenhuma ocorrência no mês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Instrumento de Medição</w:t>
            </w:r>
          </w:p>
        </w:tc>
        <w:tc>
          <w:tcPr>
            <w:tcW w:w="7850" w:type="dxa"/>
            <w:tcBorders>
              <w:right w:val="double" w:color="808080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Constatação formal de ocorrências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Forma de Acompanhamento</w:t>
            </w:r>
          </w:p>
        </w:tc>
        <w:tc>
          <w:tcPr>
            <w:tcW w:w="7850" w:type="dxa"/>
            <w:tcBorders>
              <w:right w:val="double" w:color="808080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Pelo fiscal do Contrato através do Livro de Registros.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Periodicidade</w:t>
            </w:r>
          </w:p>
        </w:tc>
        <w:tc>
          <w:tcPr>
            <w:tcW w:w="7850" w:type="dxa"/>
            <w:tcBorders>
              <w:right w:val="double" w:color="808080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Mensal, nos termos do Art. 459, § 1º, do Decreto-lei 5452/43, ou data base fornecida por convenção coletiva da categoria.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Mecanismo de Cálculo</w:t>
            </w:r>
          </w:p>
        </w:tc>
        <w:tc>
          <w:tcPr>
            <w:tcW w:w="7850" w:type="dxa"/>
            <w:tcBorders>
              <w:right w:val="double" w:color="808080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Identificação de ocorrência de atraso no mês de referência.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Início da Vigência</w:t>
            </w:r>
          </w:p>
        </w:tc>
        <w:tc>
          <w:tcPr>
            <w:tcW w:w="7850" w:type="dxa"/>
            <w:tcBorders>
              <w:right w:val="double" w:color="808080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A partir do início da prestação de serviço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Faixas de Ajuste no Pagamento</w:t>
            </w:r>
          </w:p>
        </w:tc>
        <w:tc>
          <w:tcPr>
            <w:tcW w:w="7850" w:type="dxa"/>
            <w:tcBorders>
              <w:right w:val="double" w:color="808080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tabs>
                <w:tab w:val="left" w:pos="480"/>
                <w:tab w:val="clear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420" w:leftChars="0" w:right="154" w:rightChars="77" w:hanging="180" w:firstLineChars="0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Sem ocorrências = 30 Pontos;</w:t>
            </w:r>
          </w:p>
          <w:p>
            <w:pPr>
              <w:pStyle w:val="81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tabs>
                <w:tab w:val="left" w:pos="480"/>
                <w:tab w:val="clear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420" w:leftChars="0" w:right="154" w:rightChars="77" w:hanging="180" w:firstLineChars="0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01 ou mais ocorrências de atraso = 0 Pontos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Sanções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 xml:space="preserve">Ver item </w:t>
            </w:r>
            <w:r>
              <w:rPr>
                <w:rFonts w:hint="default" w:ascii="Arial" w:hAnsi="Arial" w:cs="Arial"/>
                <w:w w:val="105"/>
                <w:sz w:val="18"/>
                <w:szCs w:val="18"/>
                <w:lang w:val="pt-BR"/>
              </w:rPr>
              <w:t>3.2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9989" w:type="dxa"/>
            <w:gridSpan w:val="2"/>
            <w:tcBorders>
              <w:right w:val="double" w:color="808080" w:sz="2" w:space="0"/>
            </w:tcBorders>
            <w:shd w:val="clear" w:color="auto" w:fill="D7D7D7" w:themeFill="background1" w:themeFillShade="D8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b/>
                <w:i/>
                <w:w w:val="105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b/>
                <w:i/>
                <w:w w:val="105"/>
                <w:sz w:val="18"/>
                <w:szCs w:val="18"/>
              </w:rPr>
              <w:t xml:space="preserve">INDICADOR 2: </w:t>
            </w:r>
            <w:r>
              <w:rPr>
                <w:rFonts w:hint="default" w:ascii="Arial" w:hAnsi="Arial" w:cs="Arial"/>
                <w:b w:val="0"/>
                <w:bCs/>
                <w:i/>
                <w:iCs w:val="0"/>
                <w:w w:val="105"/>
                <w:sz w:val="18"/>
                <w:szCs w:val="18"/>
              </w:rPr>
              <w:t>USO DOS UNIFORMES</w:t>
            </w:r>
            <w:r>
              <w:rPr>
                <w:rFonts w:hint="default" w:ascii="Arial" w:hAnsi="Arial" w:cs="Arial"/>
                <w:b w:val="0"/>
                <w:bCs/>
                <w:i/>
                <w:iCs w:val="0"/>
                <w:w w:val="105"/>
                <w:sz w:val="18"/>
                <w:szCs w:val="18"/>
                <w:lang w:val="pt-BR"/>
              </w:rPr>
              <w:t>, EPI e EPC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center"/>
              <w:textAlignment w:val="auto"/>
              <w:rPr>
                <w:rFonts w:hint="default" w:ascii="Arial" w:hAnsi="Arial" w:cs="Arial"/>
                <w:b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w w:val="105"/>
                <w:sz w:val="18"/>
                <w:szCs w:val="18"/>
              </w:rPr>
              <w:t>ITEM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center"/>
              <w:textAlignment w:val="auto"/>
              <w:rPr>
                <w:rFonts w:hint="default" w:ascii="Arial" w:hAnsi="Arial" w:cs="Arial"/>
                <w:b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w w:val="105"/>
                <w:sz w:val="18"/>
                <w:szCs w:val="18"/>
              </w:rPr>
              <w:t>DESCRIÇÃO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Finalidade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Mensurar o atendimento às exigências específicas relacionadas à Segurança do Trabalho, fornecimento e uso de uniformes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Meta a cumprir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Nenhuma ocorrência no mês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Instrumento de Medição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Constatação formal de ocorrências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Forma de Acompanhamento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Pelo Fiscal de Contrato através do Livro de Registros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Periodicidade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Diária, com aferição mensal do resultado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Mecanismo de Cálculo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Verificação da quantidade de ocorrências registradas no mês de referência (pessoa/dia).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Início da Vigência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A partir do início da prestação do serviço: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Faixas de Ajuste no Pagamento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Sem Ocorrências = 10 (dez) Pontos;</w:t>
            </w:r>
          </w:p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01 Ocorrência = 08 (oito) Pontos;</w:t>
            </w:r>
          </w:p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02 Ocorrências = 06 (seis) Pontos;</w:t>
            </w:r>
          </w:p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03 Ocorrências = 04 (quatro) Pontos ;</w:t>
            </w:r>
          </w:p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04 Ocorrências = 02 (dois) Pontos;</w:t>
            </w:r>
          </w:p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05 ou mais Ocorrências = 0 (zero) ponto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Sanções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Ver item 3.2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9989" w:type="dxa"/>
            <w:gridSpan w:val="2"/>
            <w:tcBorders>
              <w:right w:val="double" w:color="808080" w:sz="2" w:space="0"/>
            </w:tcBorders>
            <w:shd w:val="clear" w:color="auto" w:fill="D7D7D7" w:themeFill="background1" w:themeFillShade="D8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b/>
                <w:i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i/>
                <w:w w:val="105"/>
                <w:sz w:val="18"/>
                <w:szCs w:val="18"/>
              </w:rPr>
              <w:t xml:space="preserve">INDICADOR 3: </w:t>
            </w:r>
            <w:r>
              <w:rPr>
                <w:rFonts w:hint="default" w:ascii="Arial" w:hAnsi="Arial" w:cs="Arial"/>
                <w:b w:val="0"/>
                <w:bCs/>
                <w:i/>
                <w:w w:val="105"/>
                <w:sz w:val="18"/>
                <w:szCs w:val="18"/>
              </w:rPr>
              <w:t>TEMPO DE RESPOSTA AS SOLICITAÇÕES DA CONTRATANTE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center"/>
              <w:textAlignment w:val="auto"/>
              <w:rPr>
                <w:rFonts w:hint="default" w:ascii="Arial" w:hAnsi="Arial" w:cs="Arial"/>
                <w:b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w w:val="105"/>
                <w:sz w:val="18"/>
                <w:szCs w:val="18"/>
              </w:rPr>
              <w:t>ITEM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center"/>
              <w:textAlignment w:val="auto"/>
              <w:rPr>
                <w:rFonts w:hint="default" w:ascii="Arial" w:hAnsi="Arial" w:cs="Arial"/>
                <w:b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w w:val="105"/>
                <w:sz w:val="18"/>
                <w:szCs w:val="18"/>
              </w:rPr>
              <w:t>DESCRIÇÃO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Finalidade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Mensurar a agilidade no atendimento das solicitações efetuadas pela Administração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Meta a cumprir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Até dia útil posterior à solicitação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Instrumento de Medição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Constatação formal de ocorrências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Forma de Acompanhamento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Pelo Fiscal do Contrato através do Livro de Registros.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Periodicidade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Por evento/solicitação à Contratante/preposto.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Mecanismo de Cálculo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Verificação da quantidade de ocorrências registradas com tempo de resposta superior à meta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Início da Vigência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A partir do início da prestação do serviço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Faixas de Ajuste no Pagamento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Sem atrasos: 10 pontos;</w:t>
            </w:r>
          </w:p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01 resposta com atraso = 08 pontos;</w:t>
            </w:r>
          </w:p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02 respostas com atraso = 06 pontos;</w:t>
            </w:r>
          </w:p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03 respostas com atraso = 04 pontos;</w:t>
            </w:r>
          </w:p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04 respostas com atraso = 02 ponto;</w:t>
            </w:r>
          </w:p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05 ou mais com atraso = 00 ponto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Sanções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Ver item 3.2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Observações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O  que  se  busca   com   esse   indicador   é   obter   ciência   e comprometimento   quanto   à   resolução   das   demandas levantadas pela   contratante conforme prazo estabelecido na notificação ou conforme estabelecido em edital, mesmo que a resolução definitiva de determinada demanda se dê em maior tempo.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9989" w:type="dxa"/>
            <w:gridSpan w:val="2"/>
            <w:tcBorders>
              <w:right w:val="double" w:color="808080" w:sz="2" w:space="0"/>
            </w:tcBorders>
            <w:shd w:val="clear" w:color="auto" w:fill="D7D7D7" w:themeFill="background1" w:themeFillShade="D8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b/>
                <w:i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i/>
                <w:w w:val="105"/>
                <w:sz w:val="18"/>
                <w:szCs w:val="18"/>
              </w:rPr>
              <w:t xml:space="preserve">INDICADOR 4: </w:t>
            </w:r>
            <w:r>
              <w:rPr>
                <w:rFonts w:hint="default" w:ascii="Arial" w:hAnsi="Arial" w:cs="Arial"/>
                <w:b w:val="0"/>
                <w:bCs/>
                <w:i/>
                <w:w w:val="105"/>
                <w:sz w:val="18"/>
                <w:szCs w:val="18"/>
              </w:rPr>
              <w:t>QUALIDADE DOS SERVIÇOS PRESTADOS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center"/>
              <w:textAlignment w:val="auto"/>
              <w:rPr>
                <w:rFonts w:hint="default" w:ascii="Arial" w:hAnsi="Arial" w:cs="Arial"/>
                <w:b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w w:val="105"/>
                <w:sz w:val="18"/>
                <w:szCs w:val="18"/>
              </w:rPr>
              <w:t>ITEM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center"/>
              <w:textAlignment w:val="auto"/>
              <w:rPr>
                <w:rFonts w:hint="default" w:ascii="Arial" w:hAnsi="Arial" w:cs="Arial"/>
                <w:b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w w:val="105"/>
                <w:sz w:val="18"/>
                <w:szCs w:val="18"/>
              </w:rPr>
              <w:t>DESCRIÇÃO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Finalidade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Garantir o nível global na prestação dos serviços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Meta a cumprir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Entregar todos os serviços com qualidade técnica superior e atualizada,  primando  pela  excelência  do  serviço   e   do profissional   e   com  garantia da execução, acabamento e segurança.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Instrumento de Medição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Pesquisa de satisfação por meio de formulário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Forma de Acompanhamento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Aplicação mensal de pesquisa de satisfação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Periodicidade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Mensal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Mecanismo de Cálculo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Descrita na Planilha de Avaliação da Qualidade dos Serviços Prestados.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Início da Vigência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A partir do início da prestação do serviço.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Faixas de Ajuste no Pagamento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 a 30 Pontos, conforme resultados da pesquisa.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Sanções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Ver item 3.2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Observações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9989" w:type="dxa"/>
            <w:gridSpan w:val="2"/>
            <w:tcBorders>
              <w:right w:val="double" w:color="808080" w:sz="2" w:space="0"/>
            </w:tcBorders>
            <w:shd w:val="clear" w:color="auto" w:fill="D7D7D7" w:themeFill="background1" w:themeFillShade="D8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b/>
                <w:i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i/>
                <w:w w:val="105"/>
                <w:sz w:val="18"/>
                <w:szCs w:val="18"/>
              </w:rPr>
              <w:t xml:space="preserve">INDICADOR 5: </w:t>
            </w:r>
            <w:r>
              <w:rPr>
                <w:rFonts w:hint="default" w:ascii="Arial" w:hAnsi="Arial" w:cs="Arial"/>
                <w:b w:val="0"/>
                <w:bCs/>
                <w:i/>
                <w:w w:val="105"/>
                <w:sz w:val="18"/>
                <w:szCs w:val="18"/>
              </w:rPr>
              <w:t xml:space="preserve">FALTA DE MATERIAIS </w:t>
            </w:r>
            <w:r>
              <w:rPr>
                <w:rFonts w:hint="default" w:ascii="Arial" w:hAnsi="Arial" w:cs="Arial"/>
                <w:b w:val="0"/>
                <w:bCs/>
                <w:i/>
                <w:w w:val="105"/>
                <w:sz w:val="18"/>
                <w:szCs w:val="18"/>
                <w:lang w:val="pt-BR"/>
              </w:rPr>
              <w:t xml:space="preserve">E EQUIPAMENTOS </w:t>
            </w:r>
            <w:r>
              <w:rPr>
                <w:rFonts w:hint="default" w:ascii="Arial" w:hAnsi="Arial" w:cs="Arial"/>
                <w:b w:val="0"/>
                <w:bCs/>
                <w:i/>
                <w:w w:val="105"/>
                <w:sz w:val="18"/>
                <w:szCs w:val="18"/>
              </w:rPr>
              <w:t>PREVISTOS EM CONTRATO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center"/>
              <w:textAlignment w:val="auto"/>
              <w:rPr>
                <w:rFonts w:hint="default" w:ascii="Arial" w:hAnsi="Arial" w:cs="Arial"/>
                <w:b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w w:val="105"/>
                <w:sz w:val="18"/>
                <w:szCs w:val="18"/>
              </w:rPr>
              <w:t>ITEM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jc w:val="center"/>
              <w:textAlignment w:val="auto"/>
              <w:rPr>
                <w:rFonts w:hint="default" w:ascii="Arial" w:hAnsi="Arial" w:cs="Arial"/>
                <w:b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w w:val="105"/>
                <w:sz w:val="18"/>
                <w:szCs w:val="18"/>
              </w:rPr>
              <w:t>DESCRIÇÃO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Finalidade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Mensurar ocorrências de inadimplemento de obrigações contratuais diversas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Meta a cumprir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Cumprir obrigações contratuais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Instrumento de Medição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Constatação formal de ocorrências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Forma de Acompanhamento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Pelo Fiscal do Contrato através do Livro de Registros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Periodicidade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Por verificação do cumprimento das obrigações contratuais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Mecanismo de Cálculo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Verificação da quantidade de ocorrências registradas com tempo de resposta superior à meta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Início da Vigência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A partir do início da prestação do serviço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Faixas de Ajuste no Pagamento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Sem atrasos: 20 pontos;</w:t>
            </w:r>
          </w:p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01 resposta com atraso = 15 pontos;</w:t>
            </w:r>
          </w:p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02 respostas com atraso = 10 pontos;</w:t>
            </w:r>
          </w:p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03 respostas com atraso = 05 pontos;</w:t>
            </w:r>
          </w:p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04 ou mais com atraso = 00 pontos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139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Sanções</w:t>
            </w:r>
          </w:p>
        </w:tc>
        <w:tc>
          <w:tcPr>
            <w:tcW w:w="7850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Ver item 3.2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  <w:jc w:val="center"/>
        </w:trPr>
        <w:tc>
          <w:tcPr>
            <w:tcW w:w="2139" w:type="dxa"/>
            <w:tcBorders>
              <w:bottom w:val="thickThinMediumGap" w:color="808080" w:sz="6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Observações</w:t>
            </w:r>
          </w:p>
        </w:tc>
        <w:tc>
          <w:tcPr>
            <w:tcW w:w="7850" w:type="dxa"/>
            <w:tcBorders>
              <w:bottom w:val="thickThinMediumGap" w:color="808080" w:sz="6" w:space="0"/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right="154" w:rightChars="77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</w:tbl>
    <w:p>
      <w:pPr>
        <w:rPr>
          <w:rFonts w:hint="default"/>
          <w:lang w:val="pt-BR"/>
        </w:rPr>
      </w:pPr>
    </w:p>
    <w:p>
      <w:pPr>
        <w:rPr>
          <w:rFonts w:hint="default" w:ascii="Arial" w:hAnsi="Arial" w:cs="Arial"/>
          <w:sz w:val="21"/>
          <w:szCs w:val="21"/>
          <w:lang w:val="pt-BR"/>
        </w:rPr>
      </w:pPr>
    </w:p>
    <w:tbl>
      <w:tblPr>
        <w:tblStyle w:val="14"/>
        <w:tblW w:w="9982" w:type="dxa"/>
        <w:jc w:val="center"/>
        <w:tblBorders>
          <w:top w:val="single" w:color="2B2B2B" w:sz="6" w:space="0"/>
          <w:left w:val="single" w:color="2B2B2B" w:sz="6" w:space="0"/>
          <w:bottom w:val="single" w:color="2B2B2B" w:sz="6" w:space="0"/>
          <w:right w:val="single" w:color="2B2B2B" w:sz="6" w:space="0"/>
          <w:insideH w:val="single" w:color="2B2B2B" w:sz="6" w:space="0"/>
          <w:insideV w:val="single" w:color="2B2B2B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27"/>
        <w:gridCol w:w="613"/>
        <w:gridCol w:w="650"/>
        <w:gridCol w:w="650"/>
        <w:gridCol w:w="550"/>
        <w:gridCol w:w="692"/>
      </w:tblGrid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9982" w:type="dxa"/>
            <w:gridSpan w:val="6"/>
            <w:tcBorders>
              <w:left w:val="double" w:color="2B2B2B" w:sz="2" w:space="0"/>
              <w:bottom w:val="double" w:color="2B2B2B" w:sz="2" w:space="0"/>
              <w:right w:val="double" w:color="808080" w:sz="2" w:space="0"/>
            </w:tcBorders>
            <w:shd w:val="clear" w:color="auto" w:fill="7F7F7F" w:themeFill="text1" w:themeFillTint="7F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Arial" w:hAnsi="Arial" w:cs="Arial"/>
                <w:b/>
                <w:color w:val="FFFFFF" w:themeColor="background1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 w:themeColor="background1"/>
                <w:w w:val="105"/>
                <w:sz w:val="18"/>
                <w:szCs w:val="18"/>
              </w:rPr>
              <w:t>(II) PLANILHA DE AVALIAÇÃO DA QUALIDADE DOS SERVIÇOS PRESTADOS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9982" w:type="dxa"/>
            <w:gridSpan w:val="6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808080" w:sz="2" w:space="0"/>
            </w:tcBorders>
            <w:shd w:val="clear" w:color="auto" w:fill="D7D7D7" w:themeFill="background1" w:themeFillShade="D8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Órgão/Unidade: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9982" w:type="dxa"/>
            <w:gridSpan w:val="6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808080" w:sz="2" w:space="0"/>
            </w:tcBorders>
            <w:shd w:val="clear" w:color="auto" w:fill="D7D7D7" w:themeFill="background1" w:themeFillShade="D8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Nº Contrato: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9982" w:type="dxa"/>
            <w:gridSpan w:val="6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808080" w:sz="2" w:space="0"/>
            </w:tcBorders>
            <w:shd w:val="clear" w:color="auto" w:fill="D7D7D7" w:themeFill="background1" w:themeFillShade="D8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Fiscal(is) do Contrato: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9982" w:type="dxa"/>
            <w:gridSpan w:val="6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808080" w:sz="2" w:space="0"/>
            </w:tcBorders>
            <w:shd w:val="clear" w:color="auto" w:fill="D7D7D7" w:themeFill="background1" w:themeFillShade="D8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Contratada: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9982" w:type="dxa"/>
            <w:gridSpan w:val="6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808080" w:sz="2" w:space="0"/>
            </w:tcBorders>
            <w:shd w:val="clear" w:color="auto" w:fill="D7D7D7" w:themeFill="background1" w:themeFillShade="D8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after="6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Mês de Referência: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atLeast"/>
          <w:jc w:val="center"/>
        </w:trPr>
        <w:tc>
          <w:tcPr>
            <w:tcW w:w="9982" w:type="dxa"/>
            <w:gridSpan w:val="6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808080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 xml:space="preserve">Legenda do Grau de Satisfação: </w:t>
            </w:r>
          </w:p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O = Ótimo</w:t>
            </w:r>
          </w:p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B = Bom</w:t>
            </w:r>
          </w:p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R = Regular</w:t>
            </w:r>
          </w:p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I = Insatisfatório</w:t>
            </w:r>
          </w:p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N = Não se Aplica/Não sei responder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9982" w:type="dxa"/>
            <w:gridSpan w:val="6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808080" w:sz="2" w:space="0"/>
            </w:tcBorders>
          </w:tcPr>
          <w:p>
            <w:pPr>
              <w:pStyle w:val="81"/>
              <w:spacing w:before="0" w:line="240" w:lineRule="auto"/>
              <w:ind w:left="0"/>
              <w:rPr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9982" w:type="dxa"/>
            <w:gridSpan w:val="6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808080" w:sz="2" w:space="0"/>
            </w:tcBorders>
            <w:shd w:val="clear" w:color="auto" w:fill="7F7F7F" w:themeFill="text1" w:themeFillTint="7F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b/>
                <w:i/>
                <w:color w:val="FFFFFF" w:themeColor="background1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i/>
                <w:color w:val="FFFFFF" w:themeColor="background1"/>
                <w:w w:val="105"/>
                <w:sz w:val="18"/>
                <w:szCs w:val="18"/>
              </w:rPr>
              <w:t>SERVIÇOS/PROCEDIMENTOS/ESPECIFICAÇÕES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6827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  <w:shd w:val="clear" w:color="auto" w:fill="D7D7D7" w:themeFill="background1" w:themeFillShade="D8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  <w:t>I. Rotina por Intervenção (A pedido da Administração)</w:t>
            </w:r>
          </w:p>
        </w:tc>
        <w:tc>
          <w:tcPr>
            <w:tcW w:w="613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  <w:shd w:val="clear" w:color="auto" w:fill="D7D7D7" w:themeFill="background1" w:themeFillShade="D8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  <w:t>O</w:t>
            </w: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  <w:shd w:val="clear" w:color="auto" w:fill="D7D7D7" w:themeFill="background1" w:themeFillShade="D8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  <w:t>B</w:t>
            </w: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  <w:shd w:val="clear" w:color="auto" w:fill="D7D7D7" w:themeFill="background1" w:themeFillShade="D8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  <w:t>R</w:t>
            </w:r>
          </w:p>
        </w:tc>
        <w:tc>
          <w:tcPr>
            <w:tcW w:w="5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  <w:shd w:val="clear" w:color="auto" w:fill="D7D7D7" w:themeFill="background1" w:themeFillShade="D8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  <w:t>I</w:t>
            </w:r>
          </w:p>
        </w:tc>
        <w:tc>
          <w:tcPr>
            <w:tcW w:w="692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808080" w:sz="2" w:space="0"/>
            </w:tcBorders>
            <w:shd w:val="clear" w:color="auto" w:fill="D7D7D7" w:themeFill="background1" w:themeFillShade="D8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6827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1. Prontidão e Proatividade na Prestação do Serviço</w:t>
            </w:r>
          </w:p>
        </w:tc>
        <w:tc>
          <w:tcPr>
            <w:tcW w:w="613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808080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6827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2. Realização das tarefas programadas/solicitadas</w:t>
            </w:r>
          </w:p>
        </w:tc>
        <w:tc>
          <w:tcPr>
            <w:tcW w:w="613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808080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6827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3. Conservação zelo com os equipamentos</w:t>
            </w:r>
          </w:p>
        </w:tc>
        <w:tc>
          <w:tcPr>
            <w:tcW w:w="613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808080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6827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4. Tratamento ao público com zelo e urbanidade</w:t>
            </w:r>
          </w:p>
        </w:tc>
        <w:tc>
          <w:tcPr>
            <w:tcW w:w="613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808080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6827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5. Demonstração de técnica do profissional</w:t>
            </w:r>
          </w:p>
        </w:tc>
        <w:tc>
          <w:tcPr>
            <w:tcW w:w="613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808080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9982" w:type="dxa"/>
            <w:gridSpan w:val="6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808080" w:sz="2" w:space="0"/>
            </w:tcBorders>
          </w:tcPr>
          <w:p>
            <w:pPr>
              <w:pStyle w:val="81"/>
              <w:spacing w:before="0" w:line="240" w:lineRule="auto"/>
              <w:ind w:left="0"/>
              <w:rPr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6827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  <w:shd w:val="clear" w:color="auto" w:fill="D7D7D7" w:themeFill="background1" w:themeFillShade="D8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  <w:t>II. Rotina Semanal (01 vez por semana, no mínimo)</w:t>
            </w:r>
          </w:p>
        </w:tc>
        <w:tc>
          <w:tcPr>
            <w:tcW w:w="613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  <w:shd w:val="clear" w:color="auto" w:fill="D7D7D7" w:themeFill="background1" w:themeFillShade="D8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  <w:t>O</w:t>
            </w: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  <w:shd w:val="clear" w:color="auto" w:fill="D7D7D7" w:themeFill="background1" w:themeFillShade="D8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  <w:t>B</w:t>
            </w: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  <w:shd w:val="clear" w:color="auto" w:fill="D7D7D7" w:themeFill="background1" w:themeFillShade="D8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  <w:t>R</w:t>
            </w:r>
          </w:p>
        </w:tc>
        <w:tc>
          <w:tcPr>
            <w:tcW w:w="5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  <w:shd w:val="clear" w:color="auto" w:fill="D7D7D7" w:themeFill="background1" w:themeFillShade="D8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  <w:t>I</w:t>
            </w:r>
          </w:p>
        </w:tc>
        <w:tc>
          <w:tcPr>
            <w:tcW w:w="692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808080" w:sz="2" w:space="0"/>
            </w:tcBorders>
            <w:shd w:val="clear" w:color="auto" w:fill="D7D7D7" w:themeFill="background1" w:themeFillShade="D8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6827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6. Conservação zelo com os equipamentos</w:t>
            </w:r>
          </w:p>
        </w:tc>
        <w:tc>
          <w:tcPr>
            <w:tcW w:w="613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808080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6827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7. Organização do ambiente de trabalho e equipamentos utilizados</w:t>
            </w:r>
          </w:p>
        </w:tc>
        <w:tc>
          <w:tcPr>
            <w:tcW w:w="613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808080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9982" w:type="dxa"/>
            <w:gridSpan w:val="6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808080" w:sz="2" w:space="0"/>
            </w:tcBorders>
          </w:tcPr>
          <w:p>
            <w:pPr>
              <w:pStyle w:val="81"/>
              <w:spacing w:before="0" w:line="240" w:lineRule="auto"/>
              <w:ind w:left="0"/>
              <w:rPr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6827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  <w:shd w:val="clear" w:color="auto" w:fill="D7D7D7" w:themeFill="background1" w:themeFillShade="D8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  <w:t>III. Rotinas Gerais (verificação Diária)</w:t>
            </w:r>
          </w:p>
        </w:tc>
        <w:tc>
          <w:tcPr>
            <w:tcW w:w="613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  <w:shd w:val="clear" w:color="auto" w:fill="D7D7D7" w:themeFill="background1" w:themeFillShade="D8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  <w:t>O</w:t>
            </w: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  <w:shd w:val="clear" w:color="auto" w:fill="D7D7D7" w:themeFill="background1" w:themeFillShade="D8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  <w:t>B</w:t>
            </w: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  <w:shd w:val="clear" w:color="auto" w:fill="D7D7D7" w:themeFill="background1" w:themeFillShade="D8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  <w:t>R</w:t>
            </w:r>
          </w:p>
        </w:tc>
        <w:tc>
          <w:tcPr>
            <w:tcW w:w="5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  <w:shd w:val="clear" w:color="auto" w:fill="D7D7D7" w:themeFill="background1" w:themeFillShade="D8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  <w:t>I</w:t>
            </w:r>
          </w:p>
        </w:tc>
        <w:tc>
          <w:tcPr>
            <w:tcW w:w="692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808080" w:sz="2" w:space="0"/>
            </w:tcBorders>
            <w:shd w:val="clear" w:color="auto" w:fill="D7D7D7" w:themeFill="background1" w:themeFillShade="D8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6827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8. Funcionário: Uniformes</w:t>
            </w:r>
          </w:p>
        </w:tc>
        <w:tc>
          <w:tcPr>
            <w:tcW w:w="613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808080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6827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9. Funcionário: EPI's</w:t>
            </w:r>
          </w:p>
        </w:tc>
        <w:tc>
          <w:tcPr>
            <w:tcW w:w="613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808080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6827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10. Funcionário: Pontualidade</w:t>
            </w:r>
          </w:p>
        </w:tc>
        <w:tc>
          <w:tcPr>
            <w:tcW w:w="613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808080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6827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11. Equipamentos e Materiais Qualidade</w:t>
            </w:r>
          </w:p>
        </w:tc>
        <w:tc>
          <w:tcPr>
            <w:tcW w:w="613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808080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6827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12. Equipamentos e Materiais Quantidade</w:t>
            </w:r>
          </w:p>
        </w:tc>
        <w:tc>
          <w:tcPr>
            <w:tcW w:w="613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808080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6827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13. Preposto Atendimento as solicitações</w:t>
            </w:r>
          </w:p>
        </w:tc>
        <w:tc>
          <w:tcPr>
            <w:tcW w:w="613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808080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6827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  <w:shd w:val="clear" w:color="auto" w:fill="D7D7D7" w:themeFill="background1" w:themeFillShade="D8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  <w:t>MEMÓRIA DE CÁLCULO</w:t>
            </w:r>
          </w:p>
        </w:tc>
        <w:tc>
          <w:tcPr>
            <w:tcW w:w="613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  <w:shd w:val="clear" w:color="auto" w:fill="D7D7D7" w:themeFill="background1" w:themeFillShade="D8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  <w:t>O</w:t>
            </w: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  <w:shd w:val="clear" w:color="auto" w:fill="D7D7D7" w:themeFill="background1" w:themeFillShade="D8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  <w:t>B</w:t>
            </w: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  <w:shd w:val="clear" w:color="auto" w:fill="D7D7D7" w:themeFill="background1" w:themeFillShade="D8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  <w:t>R</w:t>
            </w:r>
          </w:p>
        </w:tc>
        <w:tc>
          <w:tcPr>
            <w:tcW w:w="5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  <w:shd w:val="clear" w:color="auto" w:fill="D7D7D7" w:themeFill="background1" w:themeFillShade="D8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  <w:t>I</w:t>
            </w:r>
          </w:p>
        </w:tc>
        <w:tc>
          <w:tcPr>
            <w:tcW w:w="692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808080" w:sz="2" w:space="0"/>
            </w:tcBorders>
            <w:shd w:val="clear" w:color="auto" w:fill="D7D7D7" w:themeFill="background1" w:themeFillShade="D8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  <w:t>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6827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right="98" w:rightChars="49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A – Número de quesitos pontuados por grau de satisfação (O B R I)</w:t>
            </w:r>
          </w:p>
        </w:tc>
        <w:tc>
          <w:tcPr>
            <w:tcW w:w="613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808080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6827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right="98" w:rightChars="49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B – Total de quesitos avaliados (excluindo-se os N)</w:t>
            </w:r>
          </w:p>
        </w:tc>
        <w:tc>
          <w:tcPr>
            <w:tcW w:w="3155" w:type="dxa"/>
            <w:gridSpan w:val="5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808080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jc w:val="center"/>
        </w:trPr>
        <w:tc>
          <w:tcPr>
            <w:tcW w:w="6827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right="98" w:rightChars="49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C – Índice de Avaliação, por quesito: dividir o número correspondente a cada grau de satisfação (O, B, R, I), pelo total de quesitos avaliados. [A/B].</w:t>
            </w:r>
          </w:p>
        </w:tc>
        <w:tc>
          <w:tcPr>
            <w:tcW w:w="613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808080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jc w:val="center"/>
        </w:trPr>
        <w:tc>
          <w:tcPr>
            <w:tcW w:w="6827" w:type="dxa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2B2B2B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right="98" w:rightChars="49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D – Pontuação Total : Somatório dos índices de avaliação (item C) para os graus e satisfação (Ótimo e Bom), multiplicados pela pontuação limite 30. [(O+B)x30].</w:t>
            </w:r>
          </w:p>
        </w:tc>
        <w:tc>
          <w:tcPr>
            <w:tcW w:w="3155" w:type="dxa"/>
            <w:gridSpan w:val="5"/>
            <w:tcBorders>
              <w:top w:val="double" w:color="2B2B2B" w:sz="2" w:space="0"/>
              <w:left w:val="double" w:color="2B2B2B" w:sz="2" w:space="0"/>
              <w:bottom w:val="double" w:color="2B2B2B" w:sz="2" w:space="0"/>
              <w:right w:val="double" w:color="808080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7" w:hRule="atLeast"/>
          <w:jc w:val="center"/>
        </w:trPr>
        <w:tc>
          <w:tcPr>
            <w:tcW w:w="9982" w:type="dxa"/>
            <w:gridSpan w:val="6"/>
            <w:tcBorders>
              <w:top w:val="double" w:color="2B2B2B" w:sz="2" w:space="0"/>
              <w:left w:val="double" w:color="2B2B2B" w:sz="2" w:space="0"/>
              <w:bottom w:val="double" w:color="808080" w:sz="2" w:space="0"/>
              <w:right w:val="double" w:color="808080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both"/>
              <w:textAlignment w:val="auto"/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  <w:t>Comentário ou observação para melhorar a qualidade dos serviços prestados</w:t>
            </w:r>
          </w:p>
        </w:tc>
      </w:tr>
    </w:tbl>
    <w:p>
      <w:pPr>
        <w:rPr>
          <w:rFonts w:hint="default" w:ascii="Arial" w:hAnsi="Arial" w:cs="Arial"/>
          <w:sz w:val="21"/>
          <w:szCs w:val="21"/>
          <w:lang w:val="pt-BR"/>
        </w:rPr>
      </w:pPr>
    </w:p>
    <w:tbl>
      <w:tblPr>
        <w:tblStyle w:val="14"/>
        <w:tblW w:w="10006" w:type="dxa"/>
        <w:jc w:val="center"/>
        <w:tblBorders>
          <w:top w:val="double" w:color="2B2B2B" w:sz="2" w:space="0"/>
          <w:left w:val="double" w:color="2B2B2B" w:sz="2" w:space="0"/>
          <w:bottom w:val="double" w:color="2B2B2B" w:sz="2" w:space="0"/>
          <w:right w:val="double" w:color="2B2B2B" w:sz="2" w:space="0"/>
          <w:insideH w:val="double" w:color="2B2B2B" w:sz="2" w:space="0"/>
          <w:insideV w:val="double" w:color="2B2B2B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47"/>
        <w:gridCol w:w="1650"/>
        <w:gridCol w:w="1475"/>
        <w:gridCol w:w="2534"/>
      </w:tblGrid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10006" w:type="dxa"/>
            <w:gridSpan w:val="4"/>
            <w:tcBorders>
              <w:right w:val="double" w:color="808080" w:sz="2" w:space="0"/>
            </w:tcBorders>
            <w:shd w:val="clear" w:color="auto" w:fill="7F7F7F" w:themeFill="text1" w:themeFillTint="7F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Arial" w:hAnsi="Arial" w:cs="Arial"/>
                <w:b/>
                <w:color w:val="FFFFFF" w:themeColor="background1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 w:themeColor="background1"/>
                <w:w w:val="105"/>
                <w:sz w:val="18"/>
                <w:szCs w:val="18"/>
              </w:rPr>
              <w:t>(III) FAIXAS DE AJUSTE DE PAGAMENTO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jc w:val="center"/>
        </w:trPr>
        <w:tc>
          <w:tcPr>
            <w:tcW w:w="10006" w:type="dxa"/>
            <w:gridSpan w:val="4"/>
            <w:tcBorders>
              <w:right w:val="double" w:color="808080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right="150" w:rightChars="75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  <w:lang w:val="pt-BR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  <w:lang w:val="pt-BR"/>
              </w:rPr>
              <w:t>3.1. As pontuações de qualidade devem ser totalizadas para o mês de referência, conforme métodos apresentados nas tabelas acima.</w:t>
            </w:r>
          </w:p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678" w:leftChars="339" w:right="150" w:rightChars="75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  <w:lang w:val="pt-BR"/>
              </w:rPr>
              <w:t xml:space="preserve">3.1.1. </w:t>
            </w: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A aplicação dos critérios de averiguação da qualidade resultará em uma pontuação final no intervalo de 0 a 100 pontos, correspondente à soma das pontuações obtidas para cada indicador, conforme a seguinte fórmula:</w:t>
            </w:r>
          </w:p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678" w:leftChars="339" w:right="150" w:rightChars="75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 xml:space="preserve"> Pontos “Indicador 1” + Pontos “Indicador 2” + Pontos</w:t>
            </w:r>
            <w:r>
              <w:rPr>
                <w:rFonts w:hint="default" w:ascii="Arial" w:hAnsi="Arial" w:cs="Arial"/>
                <w:w w:val="105"/>
                <w:sz w:val="18"/>
                <w:szCs w:val="18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“Indicador 3” + Pontos “Indicador 4” + Pontos “Indicador 5”.</w:t>
            </w:r>
          </w:p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right="150" w:rightChars="75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  <w:lang w:val="pt-BR"/>
              </w:rPr>
              <w:t xml:space="preserve">3.2. </w:t>
            </w: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Os pagamentos devidos, relativos a cada mês de referência, devem ser ajustados pela pontuação total do serviço, conforme tabela e fórmula apresentadas abaixo: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4347" w:type="dxa"/>
            <w:shd w:val="clear" w:color="auto" w:fill="D7D7D7" w:themeFill="background1" w:themeFillShade="D8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Arial" w:hAnsi="Arial" w:cs="Arial"/>
                <w:b/>
                <w:bCs/>
                <w:i/>
                <w:i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i/>
                <w:iCs/>
                <w:w w:val="105"/>
                <w:sz w:val="18"/>
                <w:szCs w:val="18"/>
              </w:rPr>
              <w:t>Valor Mensal do Contrato</w:t>
            </w:r>
          </w:p>
        </w:tc>
        <w:tc>
          <w:tcPr>
            <w:tcW w:w="1650" w:type="dxa"/>
            <w:shd w:val="clear" w:color="auto" w:fill="D7D7D7" w:themeFill="background1" w:themeFillShade="D8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Arial" w:hAnsi="Arial" w:cs="Arial"/>
                <w:b/>
                <w:bCs/>
                <w:i/>
                <w:i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i/>
                <w:iCs/>
                <w:w w:val="105"/>
                <w:sz w:val="18"/>
                <w:szCs w:val="18"/>
              </w:rPr>
              <w:t>R$ 0,00</w:t>
            </w:r>
          </w:p>
        </w:tc>
        <w:tc>
          <w:tcPr>
            <w:tcW w:w="1475" w:type="dxa"/>
            <w:shd w:val="clear" w:color="auto" w:fill="D7D7D7" w:themeFill="background1" w:themeFillShade="D8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Arial" w:hAnsi="Arial" w:cs="Arial"/>
                <w:b/>
                <w:bCs/>
                <w:i/>
                <w:i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i/>
                <w:iCs/>
                <w:w w:val="105"/>
                <w:sz w:val="18"/>
                <w:szCs w:val="18"/>
              </w:rPr>
              <w:t>Pontuação</w:t>
            </w:r>
          </w:p>
        </w:tc>
        <w:tc>
          <w:tcPr>
            <w:tcW w:w="2534" w:type="dxa"/>
            <w:tcBorders>
              <w:right w:val="double" w:color="808080" w:sz="2" w:space="0"/>
            </w:tcBorders>
            <w:shd w:val="clear" w:color="auto" w:fill="D7D7D7" w:themeFill="background1" w:themeFillShade="D8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firstLine="0" w:firstLineChars="0"/>
              <w:jc w:val="center"/>
              <w:textAlignment w:val="auto"/>
              <w:rPr>
                <w:rFonts w:hint="default" w:ascii="Arial" w:hAnsi="Arial" w:cs="Arial"/>
                <w:b/>
                <w:bCs/>
                <w:i/>
                <w:iCs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  <w:jc w:val="center"/>
        </w:trPr>
        <w:tc>
          <w:tcPr>
            <w:tcW w:w="4347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Arial" w:hAnsi="Arial" w:cs="Arial"/>
                <w:b/>
                <w:bCs/>
                <w:i/>
                <w:i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i/>
                <w:iCs/>
                <w:w w:val="105"/>
                <w:sz w:val="18"/>
                <w:szCs w:val="18"/>
              </w:rPr>
              <w:t>Faixas de Pontuação de qualidade de serviço</w:t>
            </w:r>
          </w:p>
        </w:tc>
        <w:tc>
          <w:tcPr>
            <w:tcW w:w="3125" w:type="dxa"/>
            <w:gridSpan w:val="2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Arial" w:hAnsi="Arial" w:cs="Arial"/>
                <w:b/>
                <w:bCs/>
                <w:i/>
                <w:i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i/>
                <w:iCs/>
                <w:w w:val="105"/>
                <w:sz w:val="18"/>
                <w:szCs w:val="18"/>
              </w:rPr>
              <w:t>Pagamento Devido</w:t>
            </w:r>
          </w:p>
        </w:tc>
        <w:tc>
          <w:tcPr>
            <w:tcW w:w="2534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Arial" w:hAnsi="Arial" w:cs="Arial"/>
                <w:b/>
                <w:bCs/>
                <w:i/>
                <w:i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i/>
                <w:iCs/>
                <w:w w:val="105"/>
                <w:sz w:val="18"/>
                <w:szCs w:val="18"/>
              </w:rPr>
              <w:t>Fator de Ajuste do IMR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4347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De 80 a 100 pontos</w:t>
            </w:r>
          </w:p>
        </w:tc>
        <w:tc>
          <w:tcPr>
            <w:tcW w:w="3125" w:type="dxa"/>
            <w:gridSpan w:val="2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100% do valor previsto</w:t>
            </w:r>
          </w:p>
        </w:tc>
        <w:tc>
          <w:tcPr>
            <w:tcW w:w="2534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1,00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4347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De 70 a 79 pontos</w:t>
            </w:r>
          </w:p>
        </w:tc>
        <w:tc>
          <w:tcPr>
            <w:tcW w:w="3125" w:type="dxa"/>
            <w:gridSpan w:val="2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97% do valor previsto</w:t>
            </w:r>
          </w:p>
        </w:tc>
        <w:tc>
          <w:tcPr>
            <w:tcW w:w="2534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0,97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4347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De 60 a 69 ponto</w:t>
            </w:r>
          </w:p>
        </w:tc>
        <w:tc>
          <w:tcPr>
            <w:tcW w:w="3125" w:type="dxa"/>
            <w:gridSpan w:val="2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95% do valor previsto</w:t>
            </w:r>
          </w:p>
        </w:tc>
        <w:tc>
          <w:tcPr>
            <w:tcW w:w="2534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0,95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4347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De 50 a 59 pontos</w:t>
            </w:r>
          </w:p>
        </w:tc>
        <w:tc>
          <w:tcPr>
            <w:tcW w:w="3125" w:type="dxa"/>
            <w:gridSpan w:val="2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93% do valor previsto</w:t>
            </w:r>
          </w:p>
        </w:tc>
        <w:tc>
          <w:tcPr>
            <w:tcW w:w="2534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0,93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4347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Abaixo de 50 pontos</w:t>
            </w:r>
          </w:p>
        </w:tc>
        <w:tc>
          <w:tcPr>
            <w:tcW w:w="3125" w:type="dxa"/>
            <w:gridSpan w:val="2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90% do valor previsto</w:t>
            </w:r>
          </w:p>
        </w:tc>
        <w:tc>
          <w:tcPr>
            <w:tcW w:w="2534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0,90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7472" w:type="dxa"/>
            <w:gridSpan w:val="3"/>
            <w:shd w:val="clear" w:color="auto" w:fill="D7D7D7" w:themeFill="background1" w:themeFillShade="D8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right="262" w:rightChars="131" w:firstLine="0" w:firstLineChars="0"/>
              <w:jc w:val="both"/>
              <w:textAlignment w:val="auto"/>
              <w:rPr>
                <w:rFonts w:hint="default" w:ascii="Arial" w:hAnsi="Arial" w:cs="Arial"/>
                <w:b/>
                <w:bCs/>
                <w:i/>
                <w:i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i/>
                <w:iCs/>
                <w:w w:val="105"/>
                <w:sz w:val="18"/>
                <w:szCs w:val="18"/>
              </w:rPr>
              <w:t>Valor devido na fatura mensal = (Valor mensal previsto) x (Fator de ajuste de nível de serviço).</w:t>
            </w:r>
          </w:p>
        </w:tc>
        <w:tc>
          <w:tcPr>
            <w:tcW w:w="2534" w:type="dxa"/>
            <w:tcBorders>
              <w:right w:val="double" w:color="808080" w:sz="2" w:space="0"/>
            </w:tcBorders>
            <w:shd w:val="clear" w:color="auto" w:fill="D7D7D7" w:themeFill="background1" w:themeFillShade="D8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Arial" w:hAnsi="Arial" w:cs="Arial"/>
                <w:b/>
                <w:bCs/>
                <w:i/>
                <w:iCs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10006" w:type="dxa"/>
            <w:gridSpan w:val="4"/>
            <w:tcBorders>
              <w:right w:val="double" w:color="808080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right="150" w:rightChars="75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Em caso de reincidência de pontuação (0) zero em qualquer indicativo: multa de 0,3% sobre o total da Nota Fiscal mensal + faixa de ajuste pertinente.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10006" w:type="dxa"/>
            <w:gridSpan w:val="4"/>
            <w:tcBorders>
              <w:bottom w:val="double" w:color="808080" w:sz="2" w:space="0"/>
              <w:right w:val="double" w:color="808080" w:sz="2" w:space="0"/>
            </w:tcBorders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right="150" w:rightChars="75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3.3 A avaliação abaixo de 50 pontos por três vezes poderão motivar aplicação de sanções conforme instrumento contratual deste edital, a exemplo de multa e/ou a rescisão do Contrato.</w:t>
            </w:r>
          </w:p>
        </w:tc>
      </w:tr>
    </w:tbl>
    <w:p>
      <w:pPr>
        <w:rPr>
          <w:rFonts w:hint="default" w:ascii="Arial" w:hAnsi="Arial" w:cs="Arial"/>
          <w:sz w:val="21"/>
          <w:szCs w:val="21"/>
          <w:lang w:val="pt-BR"/>
        </w:rPr>
      </w:pPr>
    </w:p>
    <w:p>
      <w:pPr>
        <w:rPr>
          <w:rFonts w:hint="default" w:ascii="Arial" w:hAnsi="Arial" w:cs="Arial"/>
          <w:sz w:val="21"/>
          <w:szCs w:val="21"/>
          <w:lang w:val="pt-BR"/>
        </w:rPr>
      </w:pPr>
    </w:p>
    <w:tbl>
      <w:tblPr>
        <w:tblStyle w:val="14"/>
        <w:tblW w:w="9969" w:type="dxa"/>
        <w:jc w:val="center"/>
        <w:tblBorders>
          <w:top w:val="double" w:color="2B2B2B" w:sz="2" w:space="0"/>
          <w:left w:val="double" w:color="2B2B2B" w:sz="2" w:space="0"/>
          <w:bottom w:val="double" w:color="2B2B2B" w:sz="2" w:space="0"/>
          <w:right w:val="double" w:color="2B2B2B" w:sz="2" w:space="0"/>
          <w:insideH w:val="double" w:color="2B2B2B" w:sz="2" w:space="0"/>
          <w:insideV w:val="double" w:color="2B2B2B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96"/>
        <w:gridCol w:w="3663"/>
        <w:gridCol w:w="1262"/>
        <w:gridCol w:w="1248"/>
      </w:tblGrid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9969" w:type="dxa"/>
            <w:gridSpan w:val="4"/>
            <w:tcBorders>
              <w:right w:val="double" w:color="808080" w:sz="2" w:space="0"/>
            </w:tcBorders>
            <w:shd w:val="clear" w:color="auto" w:fill="7F7F7F" w:themeFill="text1" w:themeFillTint="7F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firstLine="0" w:firstLineChars="0"/>
              <w:jc w:val="center"/>
              <w:textAlignment w:val="auto"/>
              <w:rPr>
                <w:rFonts w:hint="default" w:ascii="Arial" w:hAnsi="Arial" w:cs="Arial"/>
                <w:b/>
                <w:i/>
                <w:color w:val="FFFFFF" w:themeColor="background1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i/>
                <w:color w:val="FFFFFF" w:themeColor="background1"/>
                <w:w w:val="105"/>
                <w:sz w:val="18"/>
                <w:szCs w:val="18"/>
              </w:rPr>
              <w:t>(IV) CHECKLIST PARA AVALIAÇÃO DOS SERVIÇOS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3796" w:type="dxa"/>
            <w:shd w:val="clear" w:color="auto" w:fill="D7D7D7" w:themeFill="background1" w:themeFillShade="D8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  <w:t>Indicador</w:t>
            </w:r>
          </w:p>
        </w:tc>
        <w:tc>
          <w:tcPr>
            <w:tcW w:w="3663" w:type="dxa"/>
            <w:shd w:val="clear" w:color="auto" w:fill="D7D7D7" w:themeFill="background1" w:themeFillShade="D8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  <w:t>Critério (Faixas de Pontuação)</w:t>
            </w:r>
          </w:p>
        </w:tc>
        <w:tc>
          <w:tcPr>
            <w:tcW w:w="1262" w:type="dxa"/>
            <w:shd w:val="clear" w:color="auto" w:fill="D7D7D7" w:themeFill="background1" w:themeFillShade="D8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  <w:t>Pontos</w:t>
            </w:r>
          </w:p>
        </w:tc>
        <w:tc>
          <w:tcPr>
            <w:tcW w:w="1248" w:type="dxa"/>
            <w:tcBorders>
              <w:right w:val="double" w:color="808080" w:sz="2" w:space="0"/>
            </w:tcBorders>
            <w:shd w:val="clear" w:color="auto" w:fill="D7D7D7" w:themeFill="background1" w:themeFillShade="D8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w w:val="105"/>
                <w:sz w:val="18"/>
                <w:szCs w:val="18"/>
              </w:rPr>
              <w:t>Avaliação</w:t>
            </w: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796" w:type="dxa"/>
            <w:vMerge w:val="restart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1) Atraso no Pagamento de salários e outros benefícios</w:t>
            </w:r>
          </w:p>
        </w:tc>
        <w:tc>
          <w:tcPr>
            <w:tcW w:w="3663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right="98" w:rightChars="49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Sem ocorrências</w:t>
            </w:r>
          </w:p>
        </w:tc>
        <w:tc>
          <w:tcPr>
            <w:tcW w:w="1262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30</w:t>
            </w:r>
          </w:p>
        </w:tc>
        <w:tc>
          <w:tcPr>
            <w:tcW w:w="1248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right="98" w:rightChars="49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796" w:type="dxa"/>
            <w:vMerge w:val="continue"/>
            <w:tcBorders>
              <w:top w:val="nil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right="98" w:rightChars="49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3663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right="98" w:rightChars="49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Uma ou mais ocorrências</w:t>
            </w:r>
          </w:p>
        </w:tc>
        <w:tc>
          <w:tcPr>
            <w:tcW w:w="1262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</w:t>
            </w:r>
          </w:p>
        </w:tc>
        <w:tc>
          <w:tcPr>
            <w:tcW w:w="1248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480" w:leftChars="240" w:right="98" w:rightChars="49" w:firstLine="0" w:firstLineChars="0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796" w:type="dxa"/>
            <w:vMerge w:val="restart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2) Uso dos EPI's e Uniformes</w:t>
            </w:r>
          </w:p>
        </w:tc>
        <w:tc>
          <w:tcPr>
            <w:tcW w:w="3663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right="98" w:rightChars="49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Sem ocorrências</w:t>
            </w:r>
          </w:p>
        </w:tc>
        <w:tc>
          <w:tcPr>
            <w:tcW w:w="1262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10</w:t>
            </w:r>
          </w:p>
        </w:tc>
        <w:tc>
          <w:tcPr>
            <w:tcW w:w="1248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796" w:type="dxa"/>
            <w:vMerge w:val="continue"/>
            <w:tcBorders>
              <w:top w:val="nil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3663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right="98" w:rightChars="49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01 ocorrência</w:t>
            </w:r>
          </w:p>
        </w:tc>
        <w:tc>
          <w:tcPr>
            <w:tcW w:w="1262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8</w:t>
            </w:r>
          </w:p>
        </w:tc>
        <w:tc>
          <w:tcPr>
            <w:tcW w:w="1248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796" w:type="dxa"/>
            <w:vMerge w:val="continue"/>
            <w:tcBorders>
              <w:top w:val="nil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3663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right="98" w:rightChars="49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02 ocorrências</w:t>
            </w:r>
          </w:p>
        </w:tc>
        <w:tc>
          <w:tcPr>
            <w:tcW w:w="1262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6</w:t>
            </w:r>
          </w:p>
        </w:tc>
        <w:tc>
          <w:tcPr>
            <w:tcW w:w="1248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796" w:type="dxa"/>
            <w:vMerge w:val="continue"/>
            <w:tcBorders>
              <w:top w:val="nil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3663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right="98" w:rightChars="49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03 ocorrências</w:t>
            </w:r>
          </w:p>
        </w:tc>
        <w:tc>
          <w:tcPr>
            <w:tcW w:w="1262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4</w:t>
            </w:r>
          </w:p>
        </w:tc>
        <w:tc>
          <w:tcPr>
            <w:tcW w:w="1248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796" w:type="dxa"/>
            <w:vMerge w:val="continue"/>
            <w:tcBorders>
              <w:top w:val="nil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3663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right="98" w:rightChars="49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04 ocorrências</w:t>
            </w:r>
          </w:p>
        </w:tc>
        <w:tc>
          <w:tcPr>
            <w:tcW w:w="1262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2</w:t>
            </w:r>
          </w:p>
        </w:tc>
        <w:tc>
          <w:tcPr>
            <w:tcW w:w="1248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796" w:type="dxa"/>
            <w:vMerge w:val="continue"/>
            <w:tcBorders>
              <w:top w:val="nil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3663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right="98" w:rightChars="49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05 ou mais ocorrências</w:t>
            </w:r>
          </w:p>
        </w:tc>
        <w:tc>
          <w:tcPr>
            <w:tcW w:w="1262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</w:t>
            </w:r>
          </w:p>
        </w:tc>
        <w:tc>
          <w:tcPr>
            <w:tcW w:w="1248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796" w:type="dxa"/>
            <w:vMerge w:val="restart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3) Tempo de Resposta às Solicitações da Contratante</w:t>
            </w:r>
          </w:p>
        </w:tc>
        <w:tc>
          <w:tcPr>
            <w:tcW w:w="3663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right="98" w:rightChars="49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Sem atrasos:</w:t>
            </w:r>
          </w:p>
        </w:tc>
        <w:tc>
          <w:tcPr>
            <w:tcW w:w="1262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10</w:t>
            </w:r>
          </w:p>
        </w:tc>
        <w:tc>
          <w:tcPr>
            <w:tcW w:w="1248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796" w:type="dxa"/>
            <w:vMerge w:val="continue"/>
            <w:tcBorders>
              <w:top w:val="nil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3663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right="98" w:rightChars="49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01 ocorrência</w:t>
            </w:r>
          </w:p>
        </w:tc>
        <w:tc>
          <w:tcPr>
            <w:tcW w:w="1262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8</w:t>
            </w:r>
          </w:p>
        </w:tc>
        <w:tc>
          <w:tcPr>
            <w:tcW w:w="1248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796" w:type="dxa"/>
            <w:vMerge w:val="continue"/>
            <w:tcBorders>
              <w:top w:val="nil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3663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right="98" w:rightChars="49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02 ocorrências</w:t>
            </w:r>
          </w:p>
        </w:tc>
        <w:tc>
          <w:tcPr>
            <w:tcW w:w="1262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6</w:t>
            </w:r>
          </w:p>
        </w:tc>
        <w:tc>
          <w:tcPr>
            <w:tcW w:w="1248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796" w:type="dxa"/>
            <w:vMerge w:val="continue"/>
            <w:tcBorders>
              <w:top w:val="nil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3663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right="98" w:rightChars="49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03 ocorrências</w:t>
            </w:r>
          </w:p>
        </w:tc>
        <w:tc>
          <w:tcPr>
            <w:tcW w:w="1262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4</w:t>
            </w:r>
          </w:p>
        </w:tc>
        <w:tc>
          <w:tcPr>
            <w:tcW w:w="1248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796" w:type="dxa"/>
            <w:vMerge w:val="continue"/>
            <w:tcBorders>
              <w:top w:val="nil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3663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right="98" w:rightChars="49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04 ocorrências</w:t>
            </w:r>
          </w:p>
        </w:tc>
        <w:tc>
          <w:tcPr>
            <w:tcW w:w="1262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2</w:t>
            </w:r>
          </w:p>
        </w:tc>
        <w:tc>
          <w:tcPr>
            <w:tcW w:w="1248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796" w:type="dxa"/>
            <w:vMerge w:val="continue"/>
            <w:tcBorders>
              <w:top w:val="nil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3663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right="98" w:rightChars="49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05 ou mais ocorrências</w:t>
            </w:r>
          </w:p>
        </w:tc>
        <w:tc>
          <w:tcPr>
            <w:tcW w:w="1262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</w:t>
            </w:r>
          </w:p>
        </w:tc>
        <w:tc>
          <w:tcPr>
            <w:tcW w:w="1248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  <w:jc w:val="center"/>
        </w:trPr>
        <w:tc>
          <w:tcPr>
            <w:tcW w:w="3796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4) Qualidade dos Serviços Prestados</w:t>
            </w:r>
          </w:p>
        </w:tc>
        <w:tc>
          <w:tcPr>
            <w:tcW w:w="3663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right="98" w:rightChars="49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Conforme resultados da pesquisa.</w:t>
            </w:r>
          </w:p>
        </w:tc>
        <w:tc>
          <w:tcPr>
            <w:tcW w:w="1262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0 - 30</w:t>
            </w:r>
          </w:p>
        </w:tc>
        <w:tc>
          <w:tcPr>
            <w:tcW w:w="1248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3796" w:type="dxa"/>
            <w:vMerge w:val="restart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5) Falta de materiais previstos em contrato</w:t>
            </w:r>
          </w:p>
        </w:tc>
        <w:tc>
          <w:tcPr>
            <w:tcW w:w="3663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right="98" w:rightChars="49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Sem ocorrências</w:t>
            </w:r>
          </w:p>
        </w:tc>
        <w:tc>
          <w:tcPr>
            <w:tcW w:w="1262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20</w:t>
            </w:r>
          </w:p>
        </w:tc>
        <w:tc>
          <w:tcPr>
            <w:tcW w:w="1248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" w:hRule="atLeast"/>
          <w:jc w:val="center"/>
        </w:trPr>
        <w:tc>
          <w:tcPr>
            <w:tcW w:w="3796" w:type="dxa"/>
            <w:vMerge w:val="continue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3663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right="98" w:rightChars="49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01 ocorrência</w:t>
            </w:r>
          </w:p>
        </w:tc>
        <w:tc>
          <w:tcPr>
            <w:tcW w:w="1262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15</w:t>
            </w:r>
          </w:p>
        </w:tc>
        <w:tc>
          <w:tcPr>
            <w:tcW w:w="1248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" w:hRule="atLeast"/>
          <w:jc w:val="center"/>
        </w:trPr>
        <w:tc>
          <w:tcPr>
            <w:tcW w:w="3796" w:type="dxa"/>
            <w:vMerge w:val="continue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3663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right="98" w:rightChars="49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02 ocorrências</w:t>
            </w:r>
          </w:p>
        </w:tc>
        <w:tc>
          <w:tcPr>
            <w:tcW w:w="1262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10</w:t>
            </w:r>
          </w:p>
        </w:tc>
        <w:tc>
          <w:tcPr>
            <w:tcW w:w="1248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" w:hRule="atLeast"/>
          <w:jc w:val="center"/>
        </w:trPr>
        <w:tc>
          <w:tcPr>
            <w:tcW w:w="3796" w:type="dxa"/>
            <w:vMerge w:val="continue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3663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right="98" w:rightChars="49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03 ocorrências</w:t>
            </w:r>
          </w:p>
        </w:tc>
        <w:tc>
          <w:tcPr>
            <w:tcW w:w="1262" w:type="dxa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5</w:t>
            </w:r>
          </w:p>
        </w:tc>
        <w:tc>
          <w:tcPr>
            <w:tcW w:w="1248" w:type="dxa"/>
            <w:tcBorders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" w:hRule="atLeast"/>
          <w:jc w:val="center"/>
        </w:trPr>
        <w:tc>
          <w:tcPr>
            <w:tcW w:w="3796" w:type="dxa"/>
            <w:vMerge w:val="continue"/>
            <w:tcBorders>
              <w:bottom w:val="double" w:color="2B2B2B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  <w:tc>
          <w:tcPr>
            <w:tcW w:w="3663" w:type="dxa"/>
            <w:tcBorders>
              <w:bottom w:val="double" w:color="2B2B2B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240" w:leftChars="120" w:right="98" w:rightChars="49" w:firstLine="0" w:firstLineChars="0"/>
              <w:jc w:val="both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04 ou mais ocorrências</w:t>
            </w:r>
          </w:p>
        </w:tc>
        <w:tc>
          <w:tcPr>
            <w:tcW w:w="1262" w:type="dxa"/>
            <w:tcBorders>
              <w:bottom w:val="double" w:color="2B2B2B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w w:val="105"/>
                <w:sz w:val="18"/>
                <w:szCs w:val="18"/>
              </w:rPr>
              <w:t>0</w:t>
            </w:r>
          </w:p>
        </w:tc>
        <w:tc>
          <w:tcPr>
            <w:tcW w:w="1248" w:type="dxa"/>
            <w:tcBorders>
              <w:bottom w:val="double" w:color="2B2B2B" w:sz="2" w:space="0"/>
              <w:right w:val="double" w:color="808080" w:sz="2" w:space="0"/>
            </w:tcBorders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w w:val="105"/>
                <w:sz w:val="18"/>
                <w:szCs w:val="18"/>
              </w:rPr>
            </w:pPr>
          </w:p>
        </w:tc>
      </w:tr>
      <w:tr>
        <w:tblPrEx>
          <w:tblBorders>
            <w:top w:val="double" w:color="2B2B2B" w:sz="2" w:space="0"/>
            <w:left w:val="double" w:color="2B2B2B" w:sz="2" w:space="0"/>
            <w:bottom w:val="double" w:color="2B2B2B" w:sz="2" w:space="0"/>
            <w:right w:val="double" w:color="2B2B2B" w:sz="2" w:space="0"/>
            <w:insideH w:val="double" w:color="2B2B2B" w:sz="2" w:space="0"/>
            <w:insideV w:val="double" w:color="2B2B2B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" w:hRule="atLeast"/>
          <w:jc w:val="center"/>
        </w:trPr>
        <w:tc>
          <w:tcPr>
            <w:tcW w:w="8721" w:type="dxa"/>
            <w:gridSpan w:val="3"/>
            <w:tcBorders>
              <w:top w:val="double" w:color="2B2B2B" w:sz="2" w:space="0"/>
              <w:bottom w:val="double" w:color="2B2B2B" w:sz="2" w:space="0"/>
            </w:tcBorders>
            <w:shd w:val="clear" w:color="auto" w:fill="D7D7D7" w:themeFill="background1" w:themeFillShade="D8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b/>
                <w:bCs/>
                <w:i/>
                <w:iCs/>
                <w:w w:val="105"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bCs/>
                <w:i/>
                <w:iCs/>
                <w:w w:val="105"/>
                <w:sz w:val="18"/>
                <w:szCs w:val="18"/>
                <w:lang w:val="pt-PT" w:eastAsia="en-US"/>
              </w:rPr>
              <w:t>Pontuação Total do Serviço</w:t>
            </w:r>
          </w:p>
        </w:tc>
        <w:tc>
          <w:tcPr>
            <w:tcW w:w="1248" w:type="dxa"/>
            <w:tcBorders>
              <w:top w:val="double" w:color="2B2B2B" w:sz="2" w:space="0"/>
              <w:bottom w:val="double" w:color="2B2B2B" w:sz="2" w:space="0"/>
              <w:right w:val="double" w:color="2B2B2B" w:sz="2" w:space="0"/>
            </w:tcBorders>
            <w:shd w:val="clear" w:color="auto" w:fill="D7D7D7" w:themeFill="background1" w:themeFillShade="D8"/>
            <w:vAlign w:val="center"/>
          </w:tcPr>
          <w:p>
            <w:pPr>
              <w:pStyle w:val="8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right="98" w:rightChars="49"/>
              <w:jc w:val="center"/>
              <w:textAlignment w:val="auto"/>
              <w:rPr>
                <w:rFonts w:hint="default" w:ascii="Arial" w:hAnsi="Arial" w:cs="Arial"/>
                <w:b/>
                <w:bCs/>
                <w:i/>
                <w:iCs/>
                <w:w w:val="105"/>
                <w:sz w:val="18"/>
                <w:szCs w:val="18"/>
                <w:lang w:val="pt-BR"/>
              </w:rPr>
            </w:pPr>
          </w:p>
        </w:tc>
      </w:tr>
    </w:tbl>
    <w:p>
      <w:pPr>
        <w:rPr>
          <w:rFonts w:hint="default" w:ascii="Arial" w:hAnsi="Arial" w:cs="Arial"/>
          <w:sz w:val="21"/>
          <w:szCs w:val="21"/>
        </w:rPr>
      </w:pPr>
    </w:p>
    <w:p>
      <w:pPr>
        <w:rPr>
          <w:rFonts w:hint="default" w:ascii="Arial" w:hAnsi="Arial" w:cs="Arial"/>
          <w:sz w:val="21"/>
          <w:szCs w:val="21"/>
        </w:rPr>
      </w:pPr>
    </w:p>
    <w:p>
      <w:pPr>
        <w:rPr>
          <w:rFonts w:hint="default" w:ascii="Arial" w:hAnsi="Arial" w:cs="Arial"/>
          <w:sz w:val="21"/>
          <w:szCs w:val="21"/>
        </w:rPr>
      </w:pPr>
    </w:p>
    <w:p>
      <w:pPr>
        <w:rPr>
          <w:rFonts w:hint="default" w:ascii="Arial" w:hAnsi="Arial" w:cs="Arial"/>
          <w:sz w:val="21"/>
          <w:szCs w:val="21"/>
        </w:rPr>
      </w:pPr>
    </w:p>
    <w:p>
      <w:pPr>
        <w:rPr>
          <w:rFonts w:hint="default" w:ascii="Arial" w:hAnsi="Arial" w:cs="Arial"/>
          <w:sz w:val="21"/>
          <w:szCs w:val="21"/>
        </w:rPr>
      </w:pPr>
    </w:p>
    <w:tbl>
      <w:tblPr>
        <w:tblStyle w:val="1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6"/>
        <w:gridCol w:w="47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</w:tcPr>
          <w:p>
            <w:pPr>
              <w:jc w:val="center"/>
              <w:rPr>
                <w:rFonts w:hint="default" w:ascii="Arial" w:hAnsi="Arial" w:cs="Arial"/>
                <w:b/>
                <w:bCs/>
                <w:i/>
                <w:iCs/>
                <w:sz w:val="21"/>
                <w:szCs w:val="21"/>
                <w:vertAlign w:val="baseline"/>
                <w:lang w:val="pt-BR"/>
              </w:rPr>
            </w:pPr>
            <w:r>
              <w:rPr>
                <w:rFonts w:hint="default" w:cs="Arial"/>
                <w:b/>
                <w:bCs/>
                <w:i/>
                <w:iCs/>
                <w:sz w:val="21"/>
                <w:szCs w:val="21"/>
                <w:vertAlign w:val="baseline"/>
                <w:lang w:val="pt-BR"/>
              </w:rPr>
              <w:t>[nome do signatário]</w:t>
            </w:r>
          </w:p>
        </w:tc>
        <w:tc>
          <w:tcPr>
            <w:tcW w:w="4786" w:type="dxa"/>
          </w:tcPr>
          <w:p>
            <w:pPr>
              <w:jc w:val="center"/>
              <w:rPr>
                <w:rFonts w:hint="default" w:ascii="Arial" w:hAnsi="Arial" w:cs="Arial"/>
                <w:b/>
                <w:bCs/>
                <w:i/>
                <w:iCs/>
                <w:sz w:val="21"/>
                <w:szCs w:val="21"/>
                <w:vertAlign w:val="baseline"/>
              </w:rPr>
            </w:pPr>
            <w:r>
              <w:rPr>
                <w:rFonts w:hint="default" w:cs="Arial"/>
                <w:b/>
                <w:bCs/>
                <w:i/>
                <w:iCs/>
                <w:sz w:val="21"/>
                <w:szCs w:val="21"/>
                <w:vertAlign w:val="baseline"/>
                <w:lang w:val="pt-BR"/>
              </w:rPr>
              <w:t>[nome do signatário]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</w:tcPr>
          <w:p>
            <w:pPr>
              <w:jc w:val="center"/>
              <w:rPr>
                <w:rFonts w:hint="default" w:ascii="Arial" w:hAnsi="Arial" w:cs="Arial"/>
                <w:sz w:val="21"/>
                <w:szCs w:val="21"/>
                <w:vertAlign w:val="baseline"/>
                <w:lang w:val="pt-BR"/>
              </w:rPr>
            </w:pPr>
            <w:r>
              <w:rPr>
                <w:rFonts w:hint="default" w:cs="Arial"/>
                <w:sz w:val="21"/>
                <w:szCs w:val="21"/>
                <w:vertAlign w:val="baseline"/>
                <w:lang w:val="pt-BR"/>
              </w:rPr>
              <w:t>Fiscal</w:t>
            </w:r>
          </w:p>
        </w:tc>
        <w:tc>
          <w:tcPr>
            <w:tcW w:w="4786" w:type="dxa"/>
          </w:tcPr>
          <w:p>
            <w:pPr>
              <w:jc w:val="center"/>
              <w:rPr>
                <w:rFonts w:hint="default" w:ascii="Arial" w:hAnsi="Arial" w:cs="Arial"/>
                <w:sz w:val="21"/>
                <w:szCs w:val="21"/>
                <w:vertAlign w:val="baseline"/>
                <w:lang w:val="pt-BR"/>
              </w:rPr>
            </w:pPr>
            <w:r>
              <w:rPr>
                <w:rFonts w:hint="default" w:cs="Arial"/>
                <w:sz w:val="21"/>
                <w:szCs w:val="21"/>
                <w:vertAlign w:val="baseline"/>
                <w:lang w:val="pt-BR"/>
              </w:rPr>
              <w:t>Preposto</w:t>
            </w:r>
          </w:p>
        </w:tc>
      </w:tr>
    </w:tbl>
    <w:p>
      <w:pPr>
        <w:rPr>
          <w:rFonts w:hint="default" w:ascii="Arial" w:hAnsi="Arial" w:cs="Arial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766" w:right="849" w:bottom="766" w:left="1701" w:header="709" w:footer="709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Liberation Sans">
    <w:altName w:val="Segoe Print"/>
    <w:panose1 w:val="020B0604020202020204"/>
    <w:charset w:val="00"/>
    <w:family w:val="swiss"/>
    <w:pitch w:val="default"/>
    <w:sig w:usb0="00000000" w:usb1="00000000" w:usb2="00000021" w:usb3="00000000" w:csb0="600001BF" w:csb1="DFF7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Ecofont_Spranq_eco_Sans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603F01FF" w:csb1="FFFF0000"/>
  </w:font>
  <w:font w:name="Carlito">
    <w:altName w:val="Calibri"/>
    <w:panose1 w:val="020F0502020204030204"/>
    <w:charset w:val="00"/>
    <w:family w:val="swiss"/>
    <w:pitch w:val="default"/>
    <w:sig w:usb0="00000000" w:usb1="00000000" w:usb2="00000009" w:usb3="00000000" w:csb0="2000019F" w:csb1="00000000"/>
  </w:font>
  <w:font w:name="Gill Sans MT;Times New Roman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Gill Sans MT">
    <w:panose1 w:val="020B0502020104020203"/>
    <w:charset w:val="00"/>
    <w:family w:val="roman"/>
    <w:pitch w:val="default"/>
    <w:sig w:usb0="00000003" w:usb1="00000000" w:usb2="00000000" w:usb3="00000000" w:csb0="20000003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8"/>
    </w:pPr>
    <w:r>
      <w:rPr>
        <w:rFonts w:ascii="Times New Roman" w:hAnsi="Times New Roman" w:cs="Times New Roman"/>
      </w:rPr>
      <w:t>__________________________________________________________________</w:t>
    </w:r>
  </w:p>
  <w:p>
    <w:pPr>
      <w:pStyle w:val="57"/>
      <w:jc w:val="both"/>
      <w:rPr>
        <w:rFonts w:hint="default" w:ascii="Arial" w:hAnsi="Arial" w:cs="Arial"/>
        <w:sz w:val="13"/>
        <w:szCs w:val="13"/>
      </w:rPr>
    </w:pPr>
    <w:r>
      <w:rPr>
        <w:rFonts w:hint="default" w:ascii="Arial" w:hAnsi="Arial" w:cs="Arial"/>
        <w:b/>
        <w:sz w:val="13"/>
        <w:szCs w:val="13"/>
        <w:shd w:val="clear" w:color="auto" w:fill="FFFFFF"/>
      </w:rPr>
      <w:t>Diretoria de Compras, Contratos e Licitações</w:t>
    </w:r>
  </w:p>
  <w:p>
    <w:pPr>
      <w:pStyle w:val="57"/>
      <w:jc w:val="both"/>
      <w:rPr>
        <w:rFonts w:hint="default" w:ascii="Arial" w:hAnsi="Arial" w:cs="Arial"/>
        <w:sz w:val="13"/>
        <w:szCs w:val="13"/>
      </w:rPr>
    </w:pPr>
    <w:r>
      <w:rPr>
        <w:rFonts w:hint="default" w:ascii="Arial" w:hAnsi="Arial" w:cs="Arial"/>
        <w:sz w:val="13"/>
        <w:szCs w:val="13"/>
        <w:shd w:val="clear" w:color="auto" w:fill="FFFFFF"/>
      </w:rPr>
      <w:t>Av. Almirante Barroso, 1077, Centro, João Pessoa/PB, CEP: 58.013-120</w:t>
    </w:r>
  </w:p>
  <w:p>
    <w:pPr>
      <w:pStyle w:val="57"/>
      <w:jc w:val="both"/>
      <w:rPr>
        <w:rFonts w:hint="default" w:ascii="Arial" w:hAnsi="Arial" w:cs="Arial"/>
        <w:sz w:val="13"/>
        <w:szCs w:val="13"/>
      </w:rPr>
    </w:pPr>
    <w:r>
      <w:rPr>
        <w:rFonts w:hint="default" w:ascii="Arial" w:hAnsi="Arial" w:cs="Arial"/>
        <w:sz w:val="13"/>
        <w:szCs w:val="13"/>
        <w:shd w:val="clear" w:color="auto" w:fill="FFFFFF"/>
      </w:rPr>
      <w:t>(83) 3612-9166/9161 - licitacao@ifpb.edu.br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Carlito" w:hAnsi="Carlito" w:cs="Carlito"/>
        <w:bCs/>
      </w:rPr>
    </w:pPr>
    <w:r>
      <w:rPr>
        <w:rFonts w:ascii="Carlito" w:hAnsi="Carlito" w:cs="Carlito"/>
        <w:bCs/>
      </w:rPr>
      <w:drawing>
        <wp:anchor distT="0" distB="17780" distL="19050" distR="0" simplePos="0" relativeHeight="1024" behindDoc="1" locked="0" layoutInCell="1" allowOverlap="1">
          <wp:simplePos x="0" y="0"/>
          <wp:positionH relativeFrom="column">
            <wp:posOffset>2586990</wp:posOffset>
          </wp:positionH>
          <wp:positionV relativeFrom="paragraph">
            <wp:posOffset>73660</wp:posOffset>
          </wp:positionV>
          <wp:extent cx="704850" cy="723900"/>
          <wp:effectExtent l="0" t="0" r="0" b="0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  <w:sz w:val="24"/>
      </w:rPr>
    </w:pPr>
  </w:p>
  <w:p>
    <w:pPr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MINISTÉRIO DA EDUCAÇÃO</w:t>
    </w:r>
  </w:p>
  <w:p>
    <w:pPr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Secretaria de Educação Profissional e Tecnológica</w:t>
    </w:r>
  </w:p>
  <w:p>
    <w:pPr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Instituto Federal de Educação, Ciência e Tecnologia da Paraíba</w:t>
    </w:r>
  </w:p>
  <w:p>
    <w:pPr>
      <w:tabs>
        <w:tab w:val="left" w:pos="4735"/>
      </w:tabs>
      <w:jc w:val="center"/>
      <w:rPr>
        <w:rFonts w:hint="default" w:ascii="Arial" w:hAnsi="Arial" w:cs="Arial"/>
        <w:bCs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Pró-Reitoria de Administração e Finanças</w:t>
    </w:r>
  </w:p>
  <w:p>
    <w:pPr>
      <w:tabs>
        <w:tab w:val="left" w:pos="4735"/>
      </w:tabs>
      <w:jc w:val="center"/>
      <w:rPr>
        <w:rFonts w:ascii="Carlito" w:hAnsi="Carlito" w:cs="Carlito"/>
        <w:bCs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78C2062"/>
    <w:multiLevelType w:val="multilevel"/>
    <w:tmpl w:val="D78C2062"/>
    <w:lvl w:ilvl="0" w:tentative="0">
      <w:start w:val="1"/>
      <w:numFmt w:val="decimal"/>
      <w:lvlText w:val="%1."/>
      <w:lvlJc w:val="left"/>
      <w:pPr>
        <w:ind w:left="502" w:hanging="360"/>
      </w:pPr>
      <w:rPr>
        <w:rFonts w:ascii="Carlito" w:hAnsi="Carlito"/>
        <w:b/>
        <w:i w:val="0"/>
        <w:strike w:val="0"/>
        <w:dstrike w:val="0"/>
        <w:sz w:val="24"/>
        <w:szCs w:val="24"/>
        <w:u w:val="none"/>
      </w:rPr>
    </w:lvl>
    <w:lvl w:ilvl="1" w:tentative="0">
      <w:start w:val="1"/>
      <w:numFmt w:val="decimal"/>
      <w:lvlText w:val="%1.%2."/>
      <w:lvlJc w:val="left"/>
      <w:pPr>
        <w:ind w:left="858" w:hanging="432"/>
      </w:pPr>
      <w:rPr>
        <w:b w:val="0"/>
        <w:strike w:val="0"/>
        <w:dstrike w:val="0"/>
        <w:u w:val="none"/>
      </w:rPr>
    </w:lvl>
    <w:lvl w:ilvl="2" w:tentative="0">
      <w:start w:val="1"/>
      <w:numFmt w:val="decimal"/>
      <w:lvlText w:val="%1.%2.%3."/>
      <w:lvlJc w:val="left"/>
      <w:pPr>
        <w:ind w:left="1224" w:hanging="504"/>
      </w:pPr>
      <w:rPr>
        <w:i w:val="0"/>
        <w:strike w:val="0"/>
        <w:dstrike w:val="0"/>
        <w:u w:val="none"/>
      </w:rPr>
    </w:lvl>
    <w:lvl w:ilvl="3" w:tentative="0">
      <w:start w:val="1"/>
      <w:numFmt w:val="decimal"/>
      <w:lvlText w:val="%1.%2.%3.%4."/>
      <w:lvlJc w:val="left"/>
      <w:pPr>
        <w:ind w:left="1728" w:hanging="648"/>
      </w:pPr>
    </w:lvl>
    <w:lvl w:ilvl="4" w:tentative="0">
      <w:start w:val="1"/>
      <w:numFmt w:val="decimal"/>
      <w:lvlText w:val="%1.%2.%3.%4.%5."/>
      <w:lvlJc w:val="left"/>
      <w:pPr>
        <w:ind w:left="4053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61404A5"/>
    <w:multiLevelType w:val="singleLevel"/>
    <w:tmpl w:val="461404A5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708"/>
  <w:hyphenationZone w:val="425"/>
  <w:characterSpacingControl w:val="doNotCompress"/>
  <w:compat>
    <w:doNotExpandShiftReturn/>
    <w:compatSetting w:name="compatibilityMode" w:uri="http://schemas.microsoft.com/office/word" w:val="12"/>
  </w:compat>
  <w:rsids>
    <w:rsidRoot w:val="00172A27"/>
    <w:rsid w:val="00411F20"/>
    <w:rsid w:val="00746F48"/>
    <w:rsid w:val="009D171C"/>
    <w:rsid w:val="00E26109"/>
    <w:rsid w:val="00EF0621"/>
    <w:rsid w:val="00FA42F2"/>
    <w:rsid w:val="03D871CA"/>
    <w:rsid w:val="1507431F"/>
    <w:rsid w:val="2B8973FD"/>
    <w:rsid w:val="39530519"/>
    <w:rsid w:val="4AAB2D41"/>
    <w:rsid w:val="4D0E59F7"/>
    <w:rsid w:val="50630F90"/>
    <w:rsid w:val="514F4F7B"/>
    <w:rsid w:val="51AF0084"/>
    <w:rsid w:val="547C22D7"/>
    <w:rsid w:val="5AD34A6B"/>
    <w:rsid w:val="6C7D7A1B"/>
    <w:rsid w:val="74BB1782"/>
    <w:rsid w:val="7B54085F"/>
    <w:rsid w:val="7BF8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semiHidden="0" w:name="annotation text"/>
    <w:lsdException w:uiPriority="0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semiHidden="0" w:name="annotation reference"/>
    <w:lsdException w:qFormat="1"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qFormat="1" w:unhideWhenUsed="0" w:uiPriority="0" w:semiHidden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qFormat="1"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99" w:name="Placeholder Text"/>
    <w:lsdException w:qFormat="1" w:unhideWhenUsed="0" w:uiPriority="34" w:semiHidden="0" w:name="List Paragraph"/>
    <w:lsdException w:qFormat="1" w:unhideWhenUsed="0" w:uiPriority="0" w:semiHidden="0" w:name="Quote"/>
  </w:latentStyles>
  <w:style w:type="paragraph" w:default="1" w:styleId="1">
    <w:name w:val="Normal"/>
    <w:qFormat/>
    <w:uiPriority w:val="0"/>
    <w:rPr>
      <w:rFonts w:ascii="Arial" w:hAnsi="Arial" w:eastAsia="Times New Roman" w:cs="Tahoma"/>
      <w:szCs w:val="24"/>
      <w:lang w:val="pt-BR" w:eastAsia="pt-BR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"/>
    <w:basedOn w:val="3"/>
    <w:qFormat/>
    <w:uiPriority w:val="0"/>
    <w:rPr>
      <w:rFonts w:cs="Mangal"/>
    </w:rPr>
  </w:style>
  <w:style w:type="paragraph" w:styleId="3">
    <w:name w:val="Body Text"/>
    <w:basedOn w:val="1"/>
    <w:qFormat/>
    <w:uiPriority w:val="0"/>
    <w:pPr>
      <w:spacing w:after="140" w:line="276" w:lineRule="auto"/>
    </w:pPr>
  </w:style>
  <w:style w:type="paragraph" w:styleId="4">
    <w:name w:val="annotation text"/>
    <w:basedOn w:val="1"/>
    <w:unhideWhenUsed/>
    <w:qFormat/>
    <w:uiPriority w:val="0"/>
    <w:rPr>
      <w:szCs w:val="20"/>
    </w:rPr>
  </w:style>
  <w:style w:type="paragraph" w:styleId="5">
    <w:name w:val="Title"/>
    <w:basedOn w:val="1"/>
    <w:next w:val="3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6">
    <w:name w:val="List Bullet 5"/>
    <w:basedOn w:val="1"/>
    <w:qFormat/>
    <w:uiPriority w:val="0"/>
    <w:pPr>
      <w:contextualSpacing/>
    </w:pPr>
  </w:style>
  <w:style w:type="paragraph" w:styleId="7">
    <w:name w:val="Normal (Web)"/>
    <w:basedOn w:val="1"/>
    <w:qFormat/>
    <w:uiPriority w:val="99"/>
    <w:pPr>
      <w:spacing w:beforeAutospacing="1" w:afterAutospacing="1"/>
    </w:pPr>
    <w:rPr>
      <w:rFonts w:ascii="Times New Roman" w:hAnsi="Times New Roman" w:cs="Times New Roman"/>
    </w:rPr>
  </w:style>
  <w:style w:type="paragraph" w:styleId="8">
    <w:name w:val="annotation subject"/>
    <w:basedOn w:val="4"/>
    <w:next w:val="4"/>
    <w:semiHidden/>
    <w:unhideWhenUsed/>
    <w:qFormat/>
    <w:uiPriority w:val="0"/>
    <w:rPr>
      <w:b/>
      <w:bCs/>
    </w:rPr>
  </w:style>
  <w:style w:type="paragraph" w:styleId="9">
    <w:name w:val="Balloon Text"/>
    <w:basedOn w:val="1"/>
    <w:qFormat/>
    <w:uiPriority w:val="99"/>
    <w:rPr>
      <w:rFonts w:ascii="Tahoma" w:hAnsi="Tahoma" w:cs="Times New Roman"/>
      <w:sz w:val="16"/>
      <w:szCs w:val="16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annotation reference"/>
    <w:basedOn w:val="10"/>
    <w:unhideWhenUsed/>
    <w:qFormat/>
    <w:uiPriority w:val="99"/>
    <w:rPr>
      <w:sz w:val="16"/>
      <w:szCs w:val="16"/>
    </w:rPr>
  </w:style>
  <w:style w:type="character" w:styleId="13">
    <w:name w:val="line number"/>
    <w:basedOn w:val="10"/>
    <w:semiHidden/>
    <w:unhideWhenUsed/>
    <w:qFormat/>
    <w:uiPriority w:val="0"/>
  </w:style>
  <w:style w:type="table" w:styleId="15">
    <w:name w:val="Table Grid"/>
    <w:basedOn w:val="14"/>
    <w:qFormat/>
    <w:uiPriority w:val="59"/>
    <w:rPr>
      <w:rFonts w:eastAsiaTheme="minorEastAsia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Heading 1"/>
    <w:basedOn w:val="1"/>
    <w:next w:val="1"/>
    <w:qFormat/>
    <w:uiPriority w:val="9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366091" w:themeColor="accent1" w:themeShade="BF"/>
      <w:sz w:val="32"/>
      <w:szCs w:val="32"/>
    </w:rPr>
  </w:style>
  <w:style w:type="paragraph" w:customStyle="1" w:styleId="17">
    <w:name w:val="Heading 2"/>
    <w:basedOn w:val="1"/>
    <w:next w:val="1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customStyle="1" w:styleId="18">
    <w:name w:val="Link da Internet"/>
    <w:qFormat/>
    <w:uiPriority w:val="0"/>
    <w:rPr>
      <w:color w:val="000080"/>
      <w:u w:val="single"/>
    </w:rPr>
  </w:style>
  <w:style w:type="character" w:customStyle="1" w:styleId="19">
    <w:name w:val="Texto de balão Char"/>
    <w:qFormat/>
    <w:uiPriority w:val="99"/>
    <w:rPr>
      <w:rFonts w:ascii="Tahoma" w:hAnsi="Tahoma" w:cs="Tahoma"/>
      <w:sz w:val="16"/>
      <w:szCs w:val="16"/>
    </w:rPr>
  </w:style>
  <w:style w:type="character" w:customStyle="1" w:styleId="20">
    <w:name w:val="Título 2 Char"/>
    <w:qFormat/>
    <w:uiPriority w:val="0"/>
    <w:rPr>
      <w:b/>
      <w:color w:val="000000"/>
      <w:sz w:val="24"/>
    </w:rPr>
  </w:style>
  <w:style w:type="character" w:customStyle="1" w:styleId="21">
    <w:name w:val="normal__char1"/>
    <w:qFormat/>
    <w:uiPriority w:val="0"/>
    <w:rPr>
      <w:rFonts w:ascii="Arial" w:hAnsi="Arial" w:cs="Arial"/>
      <w:sz w:val="24"/>
      <w:szCs w:val="24"/>
      <w:u w:val="none"/>
    </w:rPr>
  </w:style>
  <w:style w:type="character" w:customStyle="1" w:styleId="22">
    <w:name w:val="apple-style-span"/>
    <w:basedOn w:val="10"/>
    <w:qFormat/>
    <w:uiPriority w:val="0"/>
  </w:style>
  <w:style w:type="character" w:customStyle="1" w:styleId="23">
    <w:name w:val="Citação Char"/>
    <w:qFormat/>
    <w:uiPriority w:val="0"/>
    <w:rPr>
      <w:rFonts w:ascii="Ecofont_Spranq_eco_Sans" w:hAnsi="Ecofont_Spranq_eco_Sans" w:eastAsia="Calibri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24">
    <w:name w:val="citação 2 Char"/>
    <w:basedOn w:val="23"/>
    <w:qFormat/>
    <w:uiPriority w:val="0"/>
    <w:rPr>
      <w:rFonts w:ascii="Ecofont_Spranq_eco_Sans" w:hAnsi="Ecofont_Spranq_eco_Sans" w:eastAsia="Calibri" w:cs="Tahoma"/>
      <w:color w:val="000000"/>
      <w:szCs w:val="24"/>
      <w:shd w:val="clear" w:color="auto" w:fill="FFFFCC"/>
      <w:lang w:eastAsia="en-US"/>
    </w:rPr>
  </w:style>
  <w:style w:type="character" w:customStyle="1" w:styleId="25">
    <w:name w:val="Texto de comentário Char"/>
    <w:basedOn w:val="10"/>
    <w:qFormat/>
    <w:uiPriority w:val="0"/>
    <w:rPr>
      <w:rFonts w:ascii="Ecofont_Spranq_eco_Sans" w:hAnsi="Ecofont_Spranq_eco_Sans" w:cs="Tahoma"/>
    </w:rPr>
  </w:style>
  <w:style w:type="character" w:customStyle="1" w:styleId="26">
    <w:name w:val="Assunto do comentário Char"/>
    <w:basedOn w:val="25"/>
    <w:semiHidden/>
    <w:qFormat/>
    <w:uiPriority w:val="0"/>
    <w:rPr>
      <w:rFonts w:ascii="Ecofont_Spranq_eco_Sans" w:hAnsi="Ecofont_Spranq_eco_Sans" w:cs="Tahoma"/>
      <w:b/>
      <w:bCs/>
    </w:rPr>
  </w:style>
  <w:style w:type="character" w:styleId="27">
    <w:name w:val="Placeholder Text"/>
    <w:basedOn w:val="10"/>
    <w:semiHidden/>
    <w:qFormat/>
    <w:uiPriority w:val="99"/>
    <w:rPr>
      <w:color w:val="808080"/>
    </w:rPr>
  </w:style>
  <w:style w:type="character" w:customStyle="1" w:styleId="28">
    <w:name w:val="Cabeçalho Char"/>
    <w:basedOn w:val="10"/>
    <w:qFormat/>
    <w:uiPriority w:val="0"/>
    <w:rPr>
      <w:rFonts w:ascii="Ecofont_Spranq_eco_Sans" w:hAnsi="Ecofont_Spranq_eco_Sans" w:cs="Tahoma"/>
      <w:sz w:val="24"/>
      <w:szCs w:val="24"/>
    </w:rPr>
  </w:style>
  <w:style w:type="character" w:customStyle="1" w:styleId="29">
    <w:name w:val="Rodapé Char"/>
    <w:basedOn w:val="10"/>
    <w:qFormat/>
    <w:uiPriority w:val="99"/>
    <w:rPr>
      <w:rFonts w:ascii="Ecofont_Spranq_eco_Sans" w:hAnsi="Ecofont_Spranq_eco_Sans" w:cs="Tahoma"/>
      <w:sz w:val="24"/>
      <w:szCs w:val="24"/>
    </w:rPr>
  </w:style>
  <w:style w:type="character" w:customStyle="1" w:styleId="30">
    <w:name w:val="Título 1 Char"/>
    <w:basedOn w:val="10"/>
    <w:qFormat/>
    <w:uiPriority w:val="0"/>
    <w:rPr>
      <w:rFonts w:asciiTheme="majorHAnsi" w:hAnsiTheme="majorHAnsi" w:eastAsiaTheme="majorEastAsia" w:cstheme="majorBidi"/>
      <w:color w:val="366091" w:themeColor="accent1" w:themeShade="BF"/>
      <w:sz w:val="32"/>
      <w:szCs w:val="32"/>
    </w:rPr>
  </w:style>
  <w:style w:type="character" w:customStyle="1" w:styleId="31">
    <w:name w:val="Nivel1 Char"/>
    <w:basedOn w:val="30"/>
    <w:qFormat/>
    <w:uiPriority w:val="0"/>
    <w:rPr>
      <w:rFonts w:ascii="Arial" w:hAnsi="Arial"/>
      <w:b/>
      <w:color w:val="000000"/>
    </w:rPr>
  </w:style>
  <w:style w:type="character" w:customStyle="1" w:styleId="32">
    <w:name w:val="Quote Char"/>
    <w:qFormat/>
    <w:uiPriority w:val="99"/>
    <w:rPr>
      <w:rFonts w:ascii="Ecofont_Spranq_eco_Sans" w:hAnsi="Ecofont_Spranq_eco_Sans" w:cs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character" w:customStyle="1" w:styleId="33">
    <w:name w:val="apple-converted-space"/>
    <w:basedOn w:val="10"/>
    <w:qFormat/>
    <w:uiPriority w:val="0"/>
  </w:style>
  <w:style w:type="character" w:customStyle="1" w:styleId="34">
    <w:name w:val="Nivel 01 Char"/>
    <w:basedOn w:val="10"/>
    <w:qFormat/>
    <w:locked/>
    <w:uiPriority w:val="0"/>
    <w:rPr>
      <w:rFonts w:ascii="Arial" w:hAnsi="Arial" w:eastAsiaTheme="majorEastAsia" w:cstheme="majorBidi"/>
      <w:b/>
      <w:bCs/>
      <w:color w:val="000000"/>
      <w:sz w:val="32"/>
      <w:szCs w:val="32"/>
    </w:rPr>
  </w:style>
  <w:style w:type="character" w:customStyle="1" w:styleId="35">
    <w:name w:val="Grade Colorida - Ênfase 1 Char"/>
    <w:qFormat/>
    <w:uiPriority w:val="29"/>
    <w:rPr>
      <w:rFonts w:ascii="Ecofont_Spranq_eco_Sans" w:hAnsi="Ecofont_Spranq_eco_Sans" w:eastAsia="Calibri" w:cs="Ecofont_Spranq_eco_Sans"/>
      <w:i/>
      <w:iCs/>
      <w:color w:val="000000"/>
      <w:szCs w:val="24"/>
      <w:shd w:val="clear" w:color="auto" w:fill="FFFFCC"/>
    </w:rPr>
  </w:style>
  <w:style w:type="character" w:customStyle="1" w:styleId="36">
    <w:name w:val="WW8Num2z1"/>
    <w:qFormat/>
    <w:uiPriority w:val="0"/>
  </w:style>
  <w:style w:type="character" w:customStyle="1" w:styleId="37">
    <w:name w:val="Nivel_01_Titulo Char"/>
    <w:basedOn w:val="10"/>
    <w:qFormat/>
    <w:locked/>
    <w:uiPriority w:val="0"/>
    <w:rPr>
      <w:rFonts w:ascii="Arial" w:hAnsi="Arial" w:eastAsiaTheme="majorEastAsia"/>
      <w:b/>
      <w:bCs/>
    </w:rPr>
  </w:style>
  <w:style w:type="character" w:customStyle="1" w:styleId="38">
    <w:name w:val="Unresolved Mention"/>
    <w:basedOn w:val="1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9">
    <w:name w:val="Nivel 2 Char"/>
    <w:basedOn w:val="10"/>
    <w:qFormat/>
    <w:locked/>
    <w:uiPriority w:val="0"/>
    <w:rPr>
      <w:rFonts w:ascii="Ecofont_Spranq_eco_Sans" w:hAnsi="Ecofont_Spranq_eco_Sans" w:eastAsia="Arial Unicode MS"/>
    </w:rPr>
  </w:style>
  <w:style w:type="character" w:customStyle="1" w:styleId="40">
    <w:name w:val="ListLabel 1"/>
    <w:qFormat/>
    <w:uiPriority w:val="0"/>
    <w:rPr>
      <w:rFonts w:ascii="Carlito" w:hAnsi="Carlito"/>
      <w:b/>
      <w:color w:val="auto"/>
      <w:sz w:val="24"/>
    </w:rPr>
  </w:style>
  <w:style w:type="character" w:customStyle="1" w:styleId="41">
    <w:name w:val="ListLabel 2"/>
    <w:qFormat/>
    <w:uiPriority w:val="0"/>
    <w:rPr>
      <w:rFonts w:ascii="Carlito" w:hAnsi="Carlito"/>
      <w:b/>
      <w:color w:val="auto"/>
      <w:sz w:val="24"/>
    </w:rPr>
  </w:style>
  <w:style w:type="character" w:customStyle="1" w:styleId="42">
    <w:name w:val="ListLabel 3"/>
    <w:qFormat/>
    <w:uiPriority w:val="0"/>
    <w:rPr>
      <w:rFonts w:ascii="Carlito" w:hAnsi="Carlito"/>
      <w:b/>
      <w:sz w:val="24"/>
    </w:rPr>
  </w:style>
  <w:style w:type="character" w:customStyle="1" w:styleId="43">
    <w:name w:val="ListLabel 4"/>
    <w:qFormat/>
    <w:uiPriority w:val="0"/>
    <w:rPr>
      <w:b/>
    </w:rPr>
  </w:style>
  <w:style w:type="character" w:customStyle="1" w:styleId="44">
    <w:name w:val="ListLabel 5"/>
    <w:qFormat/>
    <w:uiPriority w:val="0"/>
    <w:rPr>
      <w:color w:val="auto"/>
    </w:rPr>
  </w:style>
  <w:style w:type="character" w:customStyle="1" w:styleId="45">
    <w:name w:val="ListLabel 6"/>
    <w:qFormat/>
    <w:uiPriority w:val="0"/>
  </w:style>
  <w:style w:type="character" w:customStyle="1" w:styleId="46">
    <w:name w:val="ListLabel 7"/>
    <w:qFormat/>
    <w:uiPriority w:val="0"/>
    <w:rPr>
      <w:b/>
    </w:rPr>
  </w:style>
  <w:style w:type="character" w:customStyle="1" w:styleId="47">
    <w:name w:val="ListLabel 8"/>
    <w:qFormat/>
    <w:uiPriority w:val="0"/>
    <w:rPr>
      <w:b/>
    </w:rPr>
  </w:style>
  <w:style w:type="character" w:customStyle="1" w:styleId="48">
    <w:name w:val="ListLabel 9"/>
    <w:qFormat/>
    <w:uiPriority w:val="0"/>
    <w:rPr>
      <w:rFonts w:ascii="Carlito" w:hAnsi="Carlito"/>
      <w:b/>
      <w:sz w:val="24"/>
      <w:szCs w:val="24"/>
      <w:u w:val="none"/>
    </w:rPr>
  </w:style>
  <w:style w:type="character" w:customStyle="1" w:styleId="49">
    <w:name w:val="ListLabel 10"/>
    <w:qFormat/>
    <w:uiPriority w:val="0"/>
    <w:rPr>
      <w:u w:val="none"/>
    </w:rPr>
  </w:style>
  <w:style w:type="character" w:customStyle="1" w:styleId="50">
    <w:name w:val="ListLabel 11"/>
    <w:qFormat/>
    <w:uiPriority w:val="0"/>
    <w:rPr>
      <w:u w:val="none"/>
    </w:rPr>
  </w:style>
  <w:style w:type="character" w:customStyle="1" w:styleId="51">
    <w:name w:val="ListLabel 12"/>
    <w:qFormat/>
    <w:uiPriority w:val="0"/>
    <w:rPr>
      <w:rFonts w:eastAsia="Times New Roman" w:cs="Carlito"/>
    </w:rPr>
  </w:style>
  <w:style w:type="character" w:customStyle="1" w:styleId="52">
    <w:name w:val="ListLabel 13"/>
    <w:qFormat/>
    <w:uiPriority w:val="0"/>
    <w:rPr>
      <w:rFonts w:ascii="Carlito" w:hAnsi="Carlito"/>
      <w:b/>
      <w:sz w:val="24"/>
    </w:rPr>
  </w:style>
  <w:style w:type="character" w:customStyle="1" w:styleId="53">
    <w:name w:val="ListLabel 14"/>
    <w:qFormat/>
    <w:uiPriority w:val="0"/>
    <w:rPr>
      <w:rFonts w:ascii="Carlito" w:hAnsi="Carlito"/>
      <w:b/>
      <w:sz w:val="24"/>
      <w:szCs w:val="24"/>
    </w:rPr>
  </w:style>
  <w:style w:type="character" w:customStyle="1" w:styleId="54">
    <w:name w:val="ListLabel 15"/>
    <w:qFormat/>
    <w:uiPriority w:val="0"/>
    <w:rPr>
      <w:rFonts w:ascii="Carlito" w:hAnsi="Carlito" w:cs="Carlito"/>
      <w:sz w:val="24"/>
    </w:rPr>
  </w:style>
  <w:style w:type="paragraph" w:customStyle="1" w:styleId="55">
    <w:name w:val="Caption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56">
    <w:name w:val="Índice"/>
    <w:basedOn w:val="1"/>
    <w:qFormat/>
    <w:uiPriority w:val="0"/>
    <w:pPr>
      <w:suppressLineNumbers/>
    </w:pPr>
    <w:rPr>
      <w:rFonts w:cs="Mangal"/>
    </w:rPr>
  </w:style>
  <w:style w:type="paragraph" w:customStyle="1" w:styleId="57">
    <w:name w:val="Header"/>
    <w:basedOn w:val="1"/>
    <w:qFormat/>
    <w:uiPriority w:val="0"/>
    <w:pPr>
      <w:tabs>
        <w:tab w:val="center" w:pos="4252"/>
        <w:tab w:val="right" w:pos="8504"/>
      </w:tabs>
    </w:pPr>
  </w:style>
  <w:style w:type="paragraph" w:customStyle="1" w:styleId="58">
    <w:name w:val="Footer"/>
    <w:basedOn w:val="1"/>
    <w:qFormat/>
    <w:uiPriority w:val="99"/>
    <w:pPr>
      <w:tabs>
        <w:tab w:val="center" w:pos="4252"/>
        <w:tab w:val="right" w:pos="8504"/>
      </w:tabs>
    </w:pPr>
  </w:style>
  <w:style w:type="paragraph" w:styleId="59">
    <w:name w:val="List Paragraph"/>
    <w:basedOn w:val="1"/>
    <w:qFormat/>
    <w:uiPriority w:val="34"/>
    <w:pPr>
      <w:ind w:left="720"/>
      <w:contextualSpacing/>
    </w:pPr>
  </w:style>
  <w:style w:type="paragraph" w:customStyle="1" w:styleId="60">
    <w:name w:val="Nível 2"/>
    <w:basedOn w:val="1"/>
    <w:next w:val="1"/>
    <w:qFormat/>
    <w:uiPriority w:val="0"/>
    <w:pPr>
      <w:spacing w:after="120"/>
      <w:jc w:val="both"/>
    </w:pPr>
    <w:rPr>
      <w:rFonts w:cs="Times New Roman"/>
      <w:b/>
      <w:szCs w:val="20"/>
    </w:rPr>
  </w:style>
  <w:style w:type="paragraph" w:styleId="61">
    <w:name w:val="Quote"/>
    <w:basedOn w:val="1"/>
    <w:next w:val="1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paragraph" w:customStyle="1" w:styleId="62">
    <w:name w:val="citação 2"/>
    <w:basedOn w:val="61"/>
    <w:qFormat/>
    <w:uiPriority w:val="0"/>
    <w:rPr>
      <w:szCs w:val="20"/>
    </w:rPr>
  </w:style>
  <w:style w:type="paragraph" w:customStyle="1" w:styleId="63">
    <w:name w:val="Nivel1"/>
    <w:basedOn w:val="16"/>
    <w:qFormat/>
    <w:uiPriority w:val="0"/>
    <w:pPr>
      <w:spacing w:before="480" w:line="276" w:lineRule="auto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64">
    <w:name w:val="Revisão1"/>
    <w:semiHidden/>
    <w:qFormat/>
    <w:uiPriority w:val="99"/>
    <w:pPr>
      <w:widowControl w:val="0"/>
    </w:pPr>
    <w:rPr>
      <w:rFonts w:ascii="Arial" w:hAnsi="Arial" w:eastAsia="Times New Roman" w:cs="Tahoma"/>
      <w:szCs w:val="24"/>
      <w:lang w:val="pt-BR" w:eastAsia="pt-BR" w:bidi="ar-SA"/>
    </w:rPr>
  </w:style>
  <w:style w:type="paragraph" w:customStyle="1" w:styleId="65">
    <w:name w:val="Parágrafo da Lista1"/>
    <w:basedOn w:val="1"/>
    <w:qFormat/>
    <w:uiPriority w:val="0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66">
    <w:name w:val="Citação1"/>
    <w:basedOn w:val="1"/>
    <w:next w:val="1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paragraph" w:customStyle="1" w:styleId="67">
    <w:name w:val="Sombreamento Médio 1 - Ênfase 31"/>
    <w:basedOn w:val="1"/>
    <w:next w:val="1"/>
    <w:qFormat/>
    <w:uiPriority w:val="0"/>
    <w:pPr>
      <w:pBdr>
        <w:top w:val="single" w:color="000080" w:sz="4" w:space="1"/>
        <w:left w:val="single" w:color="000080" w:sz="4" w:space="4"/>
        <w:bottom w:val="single" w:color="000080" w:sz="4" w:space="1"/>
        <w:right w:val="single" w:color="000080" w:sz="4" w:space="4"/>
      </w:pBdr>
      <w:shd w:val="clear" w:color="auto" w:fill="FFFFCC"/>
      <w:suppressAutoHyphens/>
      <w:spacing w:before="120"/>
      <w:jc w:val="both"/>
    </w:pPr>
    <w:rPr>
      <w:rFonts w:ascii="Ecofont_Spranq_eco_Sans" w:hAnsi="Ecofont_Spranq_eco_Sans" w:eastAsia="Calibri"/>
      <w:i/>
      <w:iCs/>
      <w:color w:val="000000"/>
      <w:lang w:eastAsia="zh-CN"/>
    </w:rPr>
  </w:style>
  <w:style w:type="paragraph" w:customStyle="1" w:styleId="68">
    <w:name w:val="Nivel 01"/>
    <w:basedOn w:val="16"/>
    <w:next w:val="1"/>
    <w:qFormat/>
    <w:uiPriority w:val="0"/>
    <w:pPr>
      <w:spacing w:before="480" w:after="120" w:line="276" w:lineRule="auto"/>
      <w:ind w:left="360" w:right="-15" w:hanging="360"/>
      <w:jc w:val="both"/>
    </w:pPr>
    <w:rPr>
      <w:rFonts w:ascii="Arial" w:hAnsi="Arial"/>
      <w:b/>
      <w:bCs/>
      <w:color w:val="000000"/>
    </w:rPr>
  </w:style>
  <w:style w:type="paragraph" w:customStyle="1" w:styleId="69">
    <w:name w:val="texto_justificado"/>
    <w:basedOn w:val="1"/>
    <w:qFormat/>
    <w:uiPriority w:val="0"/>
    <w:pPr>
      <w:spacing w:beforeAutospacing="1" w:afterAutospacing="1"/>
    </w:pPr>
    <w:rPr>
      <w:rFonts w:ascii="Times New Roman" w:hAnsi="Times New Roman" w:cs="Times New Roman"/>
      <w:sz w:val="24"/>
    </w:rPr>
  </w:style>
  <w:style w:type="paragraph" w:customStyle="1" w:styleId="70">
    <w:name w:val="Nivel_01"/>
    <w:basedOn w:val="16"/>
    <w:qFormat/>
    <w:uiPriority w:val="0"/>
    <w:pPr>
      <w:tabs>
        <w:tab w:val="left" w:pos="360"/>
        <w:tab w:val="left" w:pos="567"/>
      </w:tabs>
      <w:jc w:val="both"/>
    </w:pPr>
    <w:rPr>
      <w:rFonts w:ascii="Ecofont_Spranq_eco_Sans" w:hAnsi="Ecofont_Spranq_eco_Sans" w:cs="Times New Roman"/>
      <w:b/>
      <w:bCs/>
      <w:color w:val="auto"/>
      <w:sz w:val="20"/>
      <w:szCs w:val="20"/>
    </w:rPr>
  </w:style>
  <w:style w:type="paragraph" w:customStyle="1" w:styleId="71">
    <w:name w:val="Grade Colorida - Ênfase 11"/>
    <w:basedOn w:val="1"/>
    <w:next w:val="1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 w:eastAsia="Calibri" w:cs="Ecofont_Spranq_eco_Sans"/>
      <w:i/>
      <w:iCs/>
      <w:color w:val="000000"/>
    </w:rPr>
  </w:style>
  <w:style w:type="paragraph" w:customStyle="1" w:styleId="72">
    <w:name w:val="Parágrafo da Lista2"/>
    <w:basedOn w:val="1"/>
    <w:qFormat/>
    <w:uiPriority w:val="0"/>
    <w:pPr>
      <w:ind w:left="720"/>
    </w:pPr>
    <w:rPr>
      <w:rFonts w:ascii="Ecofont_Spranq_eco_Sans" w:hAnsi="Ecofont_Spranq_eco_Sans"/>
      <w:sz w:val="24"/>
    </w:rPr>
  </w:style>
  <w:style w:type="paragraph" w:customStyle="1" w:styleId="73">
    <w:name w:val="Grade Colorida - Ênfase 110"/>
    <w:basedOn w:val="1"/>
    <w:next w:val="1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customStyle="1" w:styleId="74">
    <w:name w:val="Nivel_01_Titulo"/>
    <w:basedOn w:val="16"/>
    <w:next w:val="1"/>
    <w:qFormat/>
    <w:uiPriority w:val="0"/>
    <w:pPr>
      <w:tabs>
        <w:tab w:val="left" w:pos="360"/>
        <w:tab w:val="left" w:pos="567"/>
      </w:tabs>
      <w:jc w:val="both"/>
    </w:pPr>
    <w:rPr>
      <w:rFonts w:ascii="Arial" w:hAnsi="Arial" w:cs="Times New Roman"/>
      <w:b/>
      <w:bCs/>
      <w:color w:val="auto"/>
      <w:sz w:val="20"/>
      <w:szCs w:val="20"/>
    </w:rPr>
  </w:style>
  <w:style w:type="paragraph" w:customStyle="1" w:styleId="75">
    <w:name w:val="Nivel 2"/>
    <w:qFormat/>
    <w:uiPriority w:val="0"/>
    <w:pPr>
      <w:widowControl w:val="0"/>
      <w:spacing w:before="120" w:after="120" w:line="276" w:lineRule="auto"/>
      <w:jc w:val="both"/>
    </w:pPr>
    <w:rPr>
      <w:rFonts w:ascii="Ecofont_Spranq_eco_Sans" w:hAnsi="Ecofont_Spranq_eco_Sans" w:eastAsia="Arial Unicode MS" w:cs="Times New Roman"/>
      <w:lang w:val="pt-BR" w:eastAsia="pt-BR" w:bidi="ar-SA"/>
    </w:rPr>
  </w:style>
  <w:style w:type="paragraph" w:customStyle="1" w:styleId="76">
    <w:name w:val="Nivel 1"/>
    <w:basedOn w:val="75"/>
    <w:next w:val="75"/>
    <w:qFormat/>
    <w:uiPriority w:val="0"/>
    <w:pPr>
      <w:tabs>
        <w:tab w:val="left" w:pos="360"/>
      </w:tabs>
      <w:ind w:left="720" w:hanging="432"/>
    </w:pPr>
    <w:rPr>
      <w:rFonts w:cs="Arial"/>
      <w:b/>
    </w:rPr>
  </w:style>
  <w:style w:type="paragraph" w:customStyle="1" w:styleId="77">
    <w:name w:val="Nivel 3"/>
    <w:basedOn w:val="75"/>
    <w:qFormat/>
    <w:uiPriority w:val="0"/>
    <w:pPr>
      <w:tabs>
        <w:tab w:val="left" w:pos="360"/>
      </w:tabs>
      <w:ind w:left="2160" w:hanging="180"/>
    </w:pPr>
    <w:rPr>
      <w:rFonts w:cs="Arial"/>
      <w:color w:val="000000"/>
    </w:rPr>
  </w:style>
  <w:style w:type="paragraph" w:customStyle="1" w:styleId="78">
    <w:name w:val="Nivel 4"/>
    <w:basedOn w:val="77"/>
    <w:qFormat/>
    <w:uiPriority w:val="0"/>
    <w:pPr>
      <w:ind w:left="2880" w:hanging="360"/>
    </w:pPr>
    <w:rPr>
      <w:color w:val="auto"/>
    </w:rPr>
  </w:style>
  <w:style w:type="paragraph" w:customStyle="1" w:styleId="79">
    <w:name w:val="Nivel 5"/>
    <w:basedOn w:val="78"/>
    <w:qFormat/>
    <w:uiPriority w:val="0"/>
    <w:pPr>
      <w:ind w:left="3600"/>
    </w:pPr>
  </w:style>
  <w:style w:type="paragraph" w:customStyle="1" w:styleId="80">
    <w:name w:val="Standard"/>
    <w:qFormat/>
    <w:uiPriority w:val="0"/>
    <w:pPr>
      <w:widowControl w:val="0"/>
      <w:suppressAutoHyphens/>
      <w:textAlignment w:val="baseline"/>
    </w:pPr>
    <w:rPr>
      <w:rFonts w:ascii="Times New Roman" w:hAnsi="Times New Roman" w:eastAsia="SimSun" w:cs="Mangal"/>
      <w:kern w:val="2"/>
      <w:sz w:val="24"/>
      <w:lang w:val="pt-BR" w:eastAsia="en-US" w:bidi="ar-SA"/>
    </w:rPr>
  </w:style>
  <w:style w:type="paragraph" w:customStyle="1" w:styleId="81">
    <w:name w:val="Table Paragraph"/>
    <w:basedOn w:val="1"/>
    <w:qFormat/>
    <w:uiPriority w:val="0"/>
    <w:pPr>
      <w:spacing w:after="200"/>
      <w:jc w:val="both"/>
    </w:pPr>
    <w:rPr>
      <w:rFonts w:ascii="Gill Sans MT;Times New Roman" w:hAnsi="Gill Sans MT;Times New Roman" w:eastAsia="Gill Sans MT;Times New Roman" w:cs="Gill Sans MT;Times New Roman"/>
      <w:szCs w:val="22"/>
      <w:lang w:val="pt-PT" w:eastAsia="en-US" w:bidi="pt-PT"/>
    </w:rPr>
  </w:style>
  <w:style w:type="paragraph" w:customStyle="1" w:styleId="82">
    <w:name w:val="Default"/>
    <w:qFormat/>
    <w:uiPriority w:val="0"/>
    <w:pPr>
      <w:widowControl w:val="0"/>
    </w:pPr>
    <w:rPr>
      <w:rFonts w:ascii="Arial" w:hAnsi="Arial" w:eastAsia="Times New Roman" w:cs="Arial"/>
      <w:color w:val="000000"/>
      <w:sz w:val="24"/>
      <w:szCs w:val="24"/>
      <w:lang w:val="pt-BR" w:eastAsia="pt-BR" w:bidi="ar-SA"/>
    </w:rPr>
  </w:style>
  <w:style w:type="paragraph" w:customStyle="1" w:styleId="83">
    <w:name w:val="Conteúdo da tabela"/>
    <w:basedOn w:val="1"/>
    <w:qFormat/>
    <w:uiPriority w:val="0"/>
    <w:pPr>
      <w:suppressLineNumbers/>
    </w:pPr>
  </w:style>
  <w:style w:type="paragraph" w:customStyle="1" w:styleId="84">
    <w:name w:val="Título de tabela"/>
    <w:basedOn w:val="83"/>
    <w:qFormat/>
    <w:uiPriority w:val="0"/>
    <w:pPr>
      <w:jc w:val="center"/>
    </w:pPr>
    <w:rPr>
      <w:b/>
      <w:bCs/>
    </w:rPr>
  </w:style>
  <w:style w:type="paragraph" w:customStyle="1" w:styleId="85">
    <w:name w:val="DocumentMap"/>
    <w:qFormat/>
    <w:uiPriority w:val="0"/>
    <w:pPr>
      <w:widowControl w:val="0"/>
    </w:pPr>
    <w:rPr>
      <w:rFonts w:ascii="Calibri" w:hAnsi="Calibri" w:eastAsia="Times New Roman" w:cs="Calibri"/>
      <w:sz w:val="22"/>
      <w:szCs w:val="22"/>
      <w:lang w:val="pt-BR" w:eastAsia="pt-BR" w:bidi="ar-SA"/>
    </w:rPr>
  </w:style>
  <w:style w:type="paragraph" w:customStyle="1" w:styleId="86">
    <w:name w:val="Table Normal"/>
    <w:qFormat/>
    <w:uiPriority w:val="0"/>
    <w:pPr>
      <w:widowControl w:val="0"/>
    </w:pPr>
    <w:rPr>
      <w:rFonts w:ascii="Calibri" w:hAnsi="Calibri" w:eastAsia="Gill Sans MT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5.xml"/><Relationship Id="rId10" Type="http://schemas.openxmlformats.org/officeDocument/2006/relationships/customXml" Target="../customXml/item4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60311B-6D4A-4163-9EC1-E33D2732A0E4}">
  <ds:schemaRefs/>
</ds:datastoreItem>
</file>

<file path=customXml/itemProps3.xml><?xml version="1.0" encoding="utf-8"?>
<ds:datastoreItem xmlns:ds="http://schemas.openxmlformats.org/officeDocument/2006/customXml" ds:itemID="{FD9F94CF-1728-4BB6-A032-21ACBC0E918F}">
  <ds:schemaRefs/>
</ds:datastoreItem>
</file>

<file path=customXml/itemProps4.xml><?xml version="1.0" encoding="utf-8"?>
<ds:datastoreItem xmlns:ds="http://schemas.openxmlformats.org/officeDocument/2006/customXml" ds:itemID="{A150AF8D-FA7F-4421-83F2-1DEE7390EB09}">
  <ds:schemaRefs/>
</ds:datastoreItem>
</file>

<file path=customXml/itemProps5.xml><?xml version="1.0" encoding="utf-8"?>
<ds:datastoreItem xmlns:ds="http://schemas.openxmlformats.org/officeDocument/2006/customXml" ds:itemID="{240ED5EA-B1F6-495E-8F62-059CE9401AB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EDUARDO DOTTI</Company>
  <Pages>15</Pages>
  <Words>4045</Words>
  <Characters>21843</Characters>
  <Lines>182</Lines>
  <Paragraphs>51</Paragraphs>
  <TotalTime>3</TotalTime>
  <ScaleCrop>false</ScaleCrop>
  <LinksUpToDate>false</LinksUpToDate>
  <CharactersWithSpaces>25837</CharactersWithSpaces>
  <Application>WPS Office_11.2.0.9396_F1E327BC-269C-435d-A152-05C5408002CA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2018-12-15T19:11:00Z</dcterms:created>
  <dc:creator>Adriano</dc:creator>
  <cp:lastModifiedBy>rayan</cp:lastModifiedBy>
  <cp:lastPrinted>2020-04-07T14:55:00Z</cp:lastPrinted>
  <dcterms:modified xsi:type="dcterms:W3CDTF">2020-06-08T20:52:20Z</dcterms:modified>
  <dc:title>NOTAS EXPLICATIVAS</dc:title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EDUARDO DOTTI</vt:lpwstr>
  </property>
  <property fmtid="{D5CDD505-2E9C-101B-9397-08002B2CF9AE}" pid="3" name="ContentTypeId">
    <vt:lpwstr>0x01010012A2765E7DFD38469B2E626874CD0041</vt:lpwstr>
  </property>
  <property fmtid="{D5CDD505-2E9C-101B-9397-08002B2CF9AE}" pid="4" name="DocSecurity">
    <vt:i4>0</vt:i4>
  </property>
  <property fmtid="{D5CDD505-2E9C-101B-9397-08002B2CF9AE}" pid="5" name="KSOProductBuildVer">
    <vt:lpwstr>1046-11.2.0.9396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</Properties>
</file>